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Overall models with standardized beta coefficients (and 95% confidence intervals) from a series of linear regression models quantifying the association between perceived cancer risk and epigenetic aging among MIDUS II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0.13]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[0.01, 0.05]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0.05]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0.07]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[0.06,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0.06]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0.20]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0.05]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 p &lt; 0.05, ** p &lt; 0.01, *** p &lt; 0.001.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2026-06-29T11:59:12Z</dcterms:modified>
  <cp:category/>
</cp:coreProperties>
</file>