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I. Univariate Statistics on Study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22"/>
        <w:gridCol w:w="2331"/>
      </w:tblGrid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1,156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 (12.4)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 (45%)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Race/Ethnicity,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 (66%)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 (25%)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(3.5%)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(5.7%)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680 (59%)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547 (47%)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62,226.1 (60,299.4)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(2.8)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(0.9%)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593 (52%)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(1.3)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 (28%)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(18%)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 (7.1)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62.1 (10.8)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(&lt;0.1%)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2026-06-18T13:18:50Z</dcterms:modified>
  <cp:category/>
</cp:coreProperties>
</file>