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cancerrisk_STD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2026-06-19T09:56:33Z</dcterms:modified>
  <cp:category/>
</cp:coreProperties>
</file>