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79"/>
        <w:gridCol w:w="1056"/>
        <w:gridCol w:w="1056"/>
        <w:gridCol w:w="1067"/>
        <w:gridCol w:w="1067"/>
        <w:gridCol w:w="378"/>
      </w:tblGrid>
      <w:tr>
        <w:trPr>
          <w:trHeight w:val="470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1.1. Table 3. Zero-order correlations among epigenetic aging measures, perceived cancer risk, age, self-efficacy, and chronic conditions.</w:t>
            </w:r>
          </w:p>
        </w:tc>
      </w:tr>
      <w:tr>
        <w:trPr>
          <w:trHeight w:val="47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 z-score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0.189***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Self-efficacy for Cancer Prevention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2026-06-25T14:56:25Z</dcterms:modified>
  <cp:category/>
</cp:coreProperties>
</file>