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Overall Descriptive Characteristics of MIDUS Participants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11"/>
        <w:gridCol w:w="2576"/>
      </w:tblGrid>
      <w:tr>
        <w:trPr>
          <w:trHeight w:val="50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50.52 (12.38)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(44.8%)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 and 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(66.1%)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(58.8%)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62,226.99 (60,326.65)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(51.3%)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 (2.79)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30.07 (7.15)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(1.00)</w:t>
            </w:r>
          </w:p>
        </w:tc>
      </w:tr>
      <w:tr>
        <w:trPr>
          <w:trHeight w:val="61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2026-06-26T18:54:48Z</dcterms:modified>
  <cp:category/>
</cp:coreProperties>
</file>