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Descriptive Characteristics of MIDUS Participants by Race and Ethnicity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152"/>
        <w:gridCol w:w="1152"/>
        <w:gridCol w:w="1152"/>
        <w:gridCol w:w="1152"/>
        <w:gridCol w:w="1152"/>
        <w:gridCol w:w="1152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50.53 (12.38)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637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680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348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671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372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62,226.10 (60,299.43)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593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555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2.61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30.06 (7.15)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(&lt;0.1%)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2026-06-26T18:54:51Z</dcterms:modified>
  <cp:category/>
</cp:coreProperties>
</file>