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Adjusted associations between perceived cancer risk 
and epigenetic aging among MIDUS II sample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(0.07, 0.13)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(-0.03,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(-0.06,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race_eth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(-0.00,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2026-06-27T17:19:30Z</dcterms:modified>
  <cp:category/>
</cp:coreProperties>
</file>