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gridSpan w:val="5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1: Adjusted associations between perceived cancer risk and epigenetic aging among Hispanic MIDUS Participants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0.08238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0.33239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0.22481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0.75831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0.25705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0.75708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0.26387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0.75112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0.83433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0.57827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Note: * p &lt; 0.05; ** p &lt; 0.01; *** p &lt; 0.001</w:t>
            </w:r>
          </w:p>
        </w:tc>
      </w:tr>
    </w:tbl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gridSpan w:val="5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2: Adjusted associations between perceived cancer risk and epigenetic aging among non-Hispanic Black MIDUS Participants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0***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0***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5e-05***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2e-05***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9e-05***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3e-05***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0.00012***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2e-05***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0.04004*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Note: * p &lt; 0.05; ** p &lt; 0.01; *** p &lt; 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2026-06-23T00:19:51Z</dcterms:modified>
  <cp:category/>
</cp:coreProperties>
</file>