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4: Overall models with standardized beta coefficients (and 95% confidence intervals) from a series of linear regression models quantifying the association between perceived cancer risk and epigenetic aging among MIDUS II sample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0.09]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0.05]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[0.04, 0.16]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[0.03,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0.08]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[-0.19,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[-0.20, 0.15]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[-0.17, 0.13]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[-0.12, 0.09]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[-0.11, 0.07]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(Main Effect)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[-0.01, 0.12]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[-0.03, 0.10]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[-0.02, 0.11]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[-0.06, 0.06]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0.20***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[0.08,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0.19**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[0.07, 0.30]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0.10+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[-0.00, 0.20]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[-0.38, 0.28]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[-0.37, 0.23]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 * non-Hispanic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[-0.30, 0.13]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[-0.32, 0.10]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[-0.33, 0.05]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0.10, * p &lt; 0.05, ** p &lt; 0.01, *** p &lt; 0.001.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2026-06-30T08:35:13Z</dcterms:modified>
  <cp:category/>
</cp:coreProperties>
</file>