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Adjusted associations between perceived cancer risk 
and epigenetic aging among MIDUS II sample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(-0.03,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(-0.02,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(-0.06,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(0.08, 0.32)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race_eth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(0.08, 0.30)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(0.07, 0.29)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(0.07, 0.30)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(-0.02,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(-0.00,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(-0.17, 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(-0.33, 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(-0.19,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(-0.37,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(-0.20,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(-0.38, 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(-0.20,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(-0.37, 0.29)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(-0.17,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(-0.37,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(-0.11,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(-0.30,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(-0.12,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(-0.31,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(-0.12,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(-0.32,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(-0.12, 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(-0.32, 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(-0.11, 0.07)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(-0.33, 0.05)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2026-06-29T15:48:43Z</dcterms:modified>
  <cp:category/>
</cp:coreProperties>
</file>