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79"/>
        <w:gridCol w:w="1056"/>
        <w:gridCol w:w="1056"/>
        <w:gridCol w:w="1067"/>
        <w:gridCol w:w="1067"/>
        <w:gridCol w:w="378"/>
      </w:tblGrid>
      <w:tr>
        <w:trPr>
          <w:trHeight w:val="470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1.1. Table 3. Zero-order correlations among epigenetic aging measures, perceived cancer risk, age, self-efficacy, and chronic conditions.</w:t>
            </w:r>
          </w:p>
        </w:tc>
      </w:tr>
      <w:tr>
        <w:trPr>
          <w:trHeight w:val="47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 z-score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0.189***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4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Self-efficacy for Cancer Prevention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2026-06-25T10:58:20Z</dcterms:modified>
  <cp:category/>
</cp:coreProperties>
</file>