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2"/>
        <w:gridCol w:w="1056"/>
        <w:gridCol w:w="1056"/>
        <w:gridCol w:w="1067"/>
        <w:gridCol w:w="1056"/>
        <w:gridCol w:w="1067"/>
        <w:gridCol w:w="378"/>
      </w:tblGrid>
      <w:tr>
        <w:trPr>
          <w:trHeight w:val="470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1.1. Table 3. Zero-order correlations among epigenetic aging measures, perceived cancer risk, age, self-efficacy, and chronic conditions.</w:t>
            </w:r>
          </w:p>
        </w:tc>
      </w:tr>
      <w:tr>
        <w:trPr>
          <w:trHeight w:val="47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Number of chronic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0.173***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0.088**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 Self-efficacy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2026-06-20T12:39:06Z</dcterms:modified>
  <cp:category/>
</cp:coreProperties>
</file>