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Adjusted associations between perceived cancer risk 
and epigenetic aging among MIDUS II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GrimAge2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DunedinPACE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2026-06-25T08:19:09Z</dcterms:modified>
  <cp:category/>
</cp:coreProperties>
</file>