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4: Overall models with standardized beta coefficients (and 95% confidence intervals) from a series of linear regression models quantifying the association between perceived cancer risk and epigenetic aging among MIDUS II sample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[0.059, 0.112]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[0.063, 0.117]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[0.062, 0.117]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[0.009, 0.057]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[0.006, 0.054]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[-0.006, 0.053]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[-0.019, 0.082]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[-0.168, 0.126]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[-0.114, 0.070]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[0.030, 0.133]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[0.043, 0.147]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[0.037, 0.142]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[-0.018, 0.086]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[-0.030, 0.068]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[-0.059, 0.061]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[-0.002, 0.205]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[-0.374, 0.228]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[-0.330, 0.047]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0.001.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2026-06-25T15:07:37Z</dcterms:modified>
  <cp:category/>
</cp:coreProperties>
</file>