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2.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Zero-order correlations among perceived cancer risk and epigenetic aging measures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DunedinPACE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GrimAge2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Self Efficacy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Annual Income ($)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Body Mass Index (kg/m²)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DunedinPACE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GrimAge2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0.539***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Self 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-0.120***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Annual Income ($)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-0.316***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0.190***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0.861***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Body Mass Index (kg/m²)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0.362***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0.066*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-0.132***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2026-07-02T09:48:51Z</dcterms:modified>
  <cp:category/>
</cp:coreProperties>
</file>