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Overall Descriptive Characteristics of MIDUS Participants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11"/>
        <w:gridCol w:w="2576"/>
      </w:tblGrid>
      <w:tr>
        <w:trPr>
          <w:trHeight w:val="50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50.52 (12.38)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62,226.99 (60,326.65)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30.07 (7.15)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2026-07-02T09:54:39Z</dcterms:modified>
  <cp:category/>
</cp:coreProperties>
</file>