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Descriptive Characteristics of MIDUS Participants by Race and Ethnicity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52"/>
        <w:gridCol w:w="1152"/>
        <w:gridCol w:w="1152"/>
        <w:gridCol w:w="1152"/>
        <w:gridCol w:w="1152"/>
        <w:gridCol w:w="1152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1,156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50.53 (12.38)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51.74 (12.58)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48.20 (10.89)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49.29 (13.43)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47.32 (13.54)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519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637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424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457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372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308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Income ($),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62,226.10 (60,299.43)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72,607.58 (62,166.63)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32,290.61 (39,876.17)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71,391.03 (74,830.00)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67,725.41 (60,515.87)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 History of Cancer,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555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3.24 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2.65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Body Mass Index (kg/m^2),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30.06 (7.15)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29.08 (6.14)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33.27 (8.65)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27.68 (4.24)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29.09 (8.12)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 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 (0.82)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Self Efficacy,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 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2026-06-25T10:53:37Z</dcterms:modified>
  <cp:category/>
</cp:coreProperties>
</file>