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6400800" cy="6858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Figure 1: Differential association between perceived cancer risk and aging outcomes by race/ethnicity among middle-aged adults, Midlife United States study.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869d476cfd7c9fe64db9de4acc14123b7829423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2026-07-02T11:57:57Z</dcterms:modified>
  <cp:category/>
</cp:coreProperties>
</file>