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486400" cy="59436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94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0"/>
          <w:szCs w:val="20"/>
          <w:color w:val="000000"/>
        </w:rPr>
        <w:t xml:space="preserve">Figure 1: Differential association between perceived cancer risk and aging outcomes by race/ethnicity among middle-aged adults, Midlife United States study.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a68a90307c965525e5126514874895c90df2f67d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2026-07-02T11:46:23Z</dcterms:modified>
  <cp:category/>
</cp:coreProperties>
</file>