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2.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Zero-order correlations among perceived cancer risk and epigenetic aging measures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DunedinPACE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GrimAge2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Self Efficacy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Annual Income ($)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Body Mass Index (kg/m²)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Self Efficacy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Annual Income ($)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-0.316***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0.190***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Body Mass Index (kg/m²)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0.362***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0.066*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-0.132***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1.000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2026-07-02T11:37:55Z</dcterms:modified>
  <cp:category/>
</cp:coreProperties>
</file>