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Overall Descriptive Characteristics of MIDUS Participants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11"/>
        <w:gridCol w:w="2576"/>
      </w:tblGrid>
      <w:tr>
        <w:trPr>
          <w:trHeight w:val="50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1,155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50.52 (12.38)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518 (44.8%)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637 (55.2%)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Race and Ethnicity,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763 (66.1%)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Black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285 (24.7%)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 (3.5%)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non-Hispanic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 (5.7%)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679 (58.8%)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 (21.9%)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220 (19.0%)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 (22.4%)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 (30.1%)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546 (47.3%)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 (58.1%)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 (28.1%)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 (13.9%)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372 (32.2%)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308 (26.7%)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 (18.1%)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(23.0%)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62,226.99 (60,326.65)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 (4.1%)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592 (51.3%)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555 (48.1%)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(0.7%)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2.61 (2.79)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(0.9%)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30.07 (7.15)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 (1.00)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(0.4%)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 (1.00)</w:t>
            </w:r>
          </w:p>
        </w:tc>
      </w:tr>
      <w:tr>
        <w:trPr>
          <w:trHeight w:val="618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GrimAge2, Mean (SD)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(1.00)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2026-07-02T11:37:51Z</dcterms:modified>
  <cp:category/>
</cp:coreProperties>
</file>