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Adjusted associations between perceived cancer risk 
and epigenetic aging among MIDUS II sample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(0.07, 0.13)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(0.06, 0.12)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(0.04, 0.14)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(-0.03,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(-0.06,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race_eth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(-0.01,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(-0.06, 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(-0.00,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(-0.02, 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(-0.00, 0.21)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(-0.38,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(-0.17, 0.13)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(-0.38, 0.23)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(std.)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(-0.11, 0.07)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(-0.33, 0.05)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2026-07-02T11:38:12Z</dcterms:modified>
  <cp:category/>
</cp:coreProperties>
</file>