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3: Descriptive Statistics Overall and Stratified by Race and Ethnicity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1,156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764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50.5 (12.4)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51.7 (12.6)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48.2 (10.9)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49.3 (13.4)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47.3 (13.5)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377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387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680 (59%)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550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424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62,226.1 (60,299.4)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72,607.6 (62,166.6)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32,290.6 (39,876.2)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71,391.0 (74,830.0)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67,725.4 (60,515.9)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Number of chronic Conditions,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 (2.6)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 (2.8)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593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401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671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457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232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30.1 (7.1)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 (8.6)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27.7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62.1 (10.8)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62.0 (10.9)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63.3 (10.0)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61.4 (11.9)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59.1 (11.8)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(&lt;0.1%)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test; Pearson's Chi-squared test with simulated 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ab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(based on 2000 replicates)</w:t>
            </w:r>
          </w:p>
        </w:tc>
      </w:tr>
    </w:tbl>
    <w:sectPr>
      <w:pgMar w:header="708" w:bottom="1417" w:top="1417" w:right="1417" w:left="1417" w:footer="708" w:gutter="0"/>
      <w:pgSz w:h="11952" w:w="1684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2026-06-18T14:17:51Z</dcterms:modified>
  <cp:category/>
</cp:coreProperties>
</file>