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Adjusted associations between perceived cancer risk 
and epigenetic aging among MIDUS II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(0.059, 0.112)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(0.030, 0.133)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(0.063, 0.117)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(0.043, 0.147)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(0.062, 0.117)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(0.037, 0.142)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(0.009, 0.057)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(-0.018, 0.086)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(0.006, 0.054)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(-0.030, 0.068)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(-0.006, 0.053)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(-0.059, 0.061)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2026-06-25T11:28:07Z</dcterms:modified>
  <cp:category/>
</cp:coreProperties>
</file>