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2.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Zero-order correlations among perceived cancer risk and epigenetic aging measures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Annual Income ($)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Number of Chronic Conditions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(kg/m²)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Annual Income ($)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Number of Chronic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0.173***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0.171***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0.088**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0.202***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0.066*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0.362***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2026-06-25T08:24:17Z</dcterms:modified>
  <cp:category/>
</cp:coreProperties>
</file>