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3. Descriptive Characteristics of MIDUS Participants by Race and Ethnicity**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43"/>
        <w:gridCol w:w="2576"/>
        <w:gridCol w:w="2586"/>
        <w:gridCol w:w="2576"/>
        <w:gridCol w:w="2576"/>
        <w:gridCol w:w="2576"/>
        <w:gridCol w:w="1181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50.53 (12.38)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51.74 (12.58)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48.20 (10.89)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49.29 (13.43)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47.32 (13.54)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Income ($),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62,226.10 (60,299.43)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72,607.58 (62,166.63)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32,290.61 (39,876.17)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71,391.03 (74,830.00)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67,725.41 (60,515.87)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History of Cancer,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 (2.79)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 (2.65)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3.24 (3.12)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2.44 (2.79)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 (2.45)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(kg/m^2),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30.06 (7.15)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29.08 (6.14)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33.27 (8.65)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27.68 (4.24)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29.09 (8.12)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 (0.82)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 (1.06)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 Efficacy,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 (0.90)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 (0.86)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 (0.93)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2026-06-25T08:24:16Z</dcterms:modified>
  <cp:category/>
</cp:coreProperties>
</file>