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Adjusted associations between perceived cancer risk 
and epigenetic aging among MIDUS II sample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2026-06-25T08:24:31Z</dcterms:modified>
  <cp:category/>
</cp:coreProperties>
</file>