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4: Overall models with standardized beta coefficients (and 95% confidence intervals) from a series of linear regression models quantifying the association between perceived cancer risk and epigenetic aging among MIDUS II sample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Outcome 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0.09]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0.05]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0.08]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[-0.19,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0.07]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[-0.06, 0.06]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[-0.00, 0.20]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[-0.38, 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[-0.30, 0.13]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0.05]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0.10, * p &lt; 0.05, ** p &lt; 0.01, *** p &lt; 0.001.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2026-06-30T09:52:35Z</dcterms:modified>
  <cp:category/>
</cp:coreProperties>
</file>