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9"/>
        <w:gridCol w:w="1056"/>
        <w:gridCol w:w="1056"/>
        <w:gridCol w:w="1067"/>
        <w:gridCol w:w="1067"/>
        <w:gridCol w:w="378"/>
      </w:tblGrid>
      <w:tr>
        <w:trPr>
          <w:trHeight w:val="470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1.1. Table 3. Zero-order correlations among epigenetic aging measures, perceived cancer risk, age, self-efficacy, and chronic conditions.</w:t>
            </w:r>
          </w:p>
        </w:tc>
      </w:tr>
      <w:tr>
        <w:trPr>
          <w:trHeight w:val="47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GrimAge2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DunedinPACE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0.539***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0.861***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 Perceived cancer risk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5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 Self-efficacy for Cancer Prevention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-0.120***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2026-06-29T09:26:52Z</dcterms:modified>
  <cp:category/>
</cp:coreProperties>
</file>