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4: Overall models with standardized beta coefficients (and 95% confidence intervals) from a series of linear regression models quantifying the association between perceived cancer risk and epigenetic aging among MIDUS II sample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[0.059, 0.112]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[0.063, 0.117]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[0.062, 0.117]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[0.009, 0.057]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[0.006, 0.054]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[-0.006, 0.053]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[-0.019, 0.082]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[-0.168, 0.126]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[-0.114, 0.070]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[0.030, 0.133]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[0.043, 0.147]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[0.037, 0.142]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[-0.018, 0.086]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[-0.030, 0.068]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[-0.059, 0.061]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[-0.002, 0.205]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[-0.374, 0.228]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[-0.330, 0.047]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0.001.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2026-06-29T09:27:10Z</dcterms:modified>
  <cp:category/>
</cp:coreProperties>
</file>