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2.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Zero-order correlations among perceived cancer risk and epigenetic aging measures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Annual Income ($)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Number of Chronic Conditions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Self 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GrimAge2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DunedinPACE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Body Mass Index (kg/m²)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Annual Income ($)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Number of Chronic 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Self 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0.173***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-0.316***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0.202***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0.171***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0.088**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0.190***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Body Mass Index (kg/m²)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-0.132***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0.202***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0.066*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0.362***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2026-06-19T12:11:54Z</dcterms:modified>
  <cp:category/>
</cp:coreProperties>
</file>