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2.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Zero-order correlations among perceived cancer risk and epigenetic aging measures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Annual Income ($)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Number of Chronic Conditions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Self Efficacy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GrimAge2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DunedinPACE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Perceived Cancer Risk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Body Mass Index (kg/m²)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Annual Income ($)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1.000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Number of Chronic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Self Efficacy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GrimAge2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0.173***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DunedinPACE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-0.316***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0.202***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0.539***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Perceived Cancer Risk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0.171***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0.062*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0.088**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0.861***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0.190***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Body Mass Index (kg/m²)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-0.132***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0.202***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0.066*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0.362***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0.042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-0.031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1.000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2026-06-21T13:16:24Z</dcterms:modified>
  <cp:category/>
</cp:coreProperties>
</file>