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4: Overall models with standardized beta coefficients (and 95% confidence intervals) from a series of linear regression models quantifying the association between perceived cancer risk and epigenetic aging among MIDUS II sample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 1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 2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 3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 4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 5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Epigenetic Clock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(Main Effect)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(0.04, 0.11)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(0.03, 0.09)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(0.03, 0.10)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(0.03, 0.10)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(-0.01, 0.05)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(0.04, 0.16)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(0.03, 0.15)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(0.03, 0.14)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(0.03, 0.15)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(-0.02, 0.08)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(-0.17, 0.19)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(-0.19,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(-0.20,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(-0.20,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(-0.17, 0.13)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(-0.11,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(-0.12,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(-0.12,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(-0.12,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(-0.11, 0.07)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(Main Effect)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(-0.01,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(-0.03,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(-0.01,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(-0.02,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(-0.06, 0.06)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(0.08, 0.32)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(0.08, 0.30)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(0.07, 0.29)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(0.07, 0.30)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(-0.00, 0.21)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(-0.33, 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(-0.37, 0.29)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(-0.38, 0.28)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(-0.37, 0.29)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(-0.37, 0.23)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Other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(-0.30, 0.13)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(-0.31, 0.10)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(-0.32, 0.10)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(-0.32, 0.10)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(-0.33, 0.05)</w:t>
            </w:r>
          </w:p>
        </w:tc>
      </w:tr>
      <w:tr>
        <w:trPr>
          <w:trHeight w:val="360" w:hRule="auto"/>
        </w:trPr>
        <w:tc>
          <w:tcPr>
            <w:gridSpan w:val="12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= Confidence Interval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0.10, * p &lt; 0.05, ** p &lt; 0.01, *** p &lt; 0.001.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2026-07-01T10:24:11Z</dcterms:modified>
  <cp:category/>
</cp:coreProperties>
</file>