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I. Univariate Statistics on Study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22"/>
        <w:gridCol w:w="2331"/>
      </w:tblGrid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1,155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 (12.4)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518 (44.8)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(55.2)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Race/Ethnicity,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763 (66.1)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285 (24.7)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(3.5)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(5.7)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679 (58.9)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(22.0)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(30.2)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546 (47.4)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62,227.0 (60,326.7)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592 (51.6)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(1.3)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 (28.1)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(13.9)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(32.2)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(26.7)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 (18.1)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(23.0)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 (7.1)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62.1 (10.8)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2026-06-30T08:36:22Z</dcterms:modified>
  <cp:category/>
</cp:coreProperties>
</file>