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79"/>
        <w:gridCol w:w="1056"/>
        <w:gridCol w:w="1056"/>
        <w:gridCol w:w="1067"/>
        <w:gridCol w:w="1067"/>
        <w:gridCol w:w="378"/>
      </w:tblGrid>
      <w:tr>
        <w:trPr>
          <w:trHeight w:val="470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1.1. Table 3. Zero-order correlations among epigenetic aging measures, perceived cancer risk, age, self-efficacy, and chronic conditions.</w:t>
            </w:r>
          </w:p>
        </w:tc>
      </w:tr>
      <w:tr>
        <w:trPr>
          <w:trHeight w:val="47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 GrimAge2 z-score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 DunedinPACE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0.539***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0.861***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0.189***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 Perceived cancer risk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0.062*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5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 Self-efficacy for Cancer Prevention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-0.120***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2026-06-30T08:36:44Z</dcterms:modified>
  <cp:category/>
</cp:coreProperties>
</file>