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Descriptive Characteristics of MIDUS Participants by Race and Ethnicity**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43"/>
        <w:gridCol w:w="2586"/>
        <w:gridCol w:w="2576"/>
        <w:gridCol w:w="2576"/>
        <w:gridCol w:w="2576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51.74 (12.58)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48.20 (10.89)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49.29 (13.43)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47.32 (13.54)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Income ($),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72,607.58 (62,166.63)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32,290.61 (39,876.17)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71,391.03 (74,830.00)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67,725.41 (60,515.87)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History of Cancer,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 (2.65)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 (3.12)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 (2.79)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(kg/m^2),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29.08 (6.14)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33.27 (8.65)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27.68 (4.24)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29.09 (8.12)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(0.82)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 Efficacy,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(0.90)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 with simulated 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ab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2026-06-19T11:41:35Z</dcterms:modified>
  <cp:category/>
</cp:coreProperties>
</file>