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4A. Comparison of statistical methods for estimating associations between everyday discrimination and epigenetic aging in MIDUS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8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Naive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FCS-MI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JM-MI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IPW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AIPW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GrimAge2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0.0678 (0.0369 to 0.0988)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0.0488 (0.0114 to 0.0862)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0.0655 (0.0346 to 0.0963)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0.0658 (0.0348 to 0.0968)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0.0461 (0.0041 to 0.0881)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0.0659 (0.0315 to 0.1004)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 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4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DunedinPACE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0.1670 (0.1019 to 0.2320)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0.1302 (0.0503 to 0.2101)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0.1617 (0.0958 to 0.2276)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0.1615 (0.0959 to 0.2271)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0.1273 (0.0464 to 0.2082)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0.1618 (0.0928 to 0.2308)</w:t>
            </w:r>
          </w:p>
        </w:tc>
      </w:tr>
      <w:tr>
        <w:trPr>
          <w:trHeight w:val="47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Note: Values are standardized regression coefficients (95% CIs), representing the SD difference in the epigenetic-aging outcome associated with a 1-SD higher everyday discrimination score. The Phase-1 analytic sample included N = 786 participants; N = 518 had complete Phase-2 RNA-marker measurements. All approaches adjust for age, sex, and race/ethnicity. The Naive analysis does not include the RNA markers; CCA, FCS-MI, JM-MI, IPW, and AIPW incorporate the eight Phase-2 RNA leukocyte-marker transcripts according to their respective procedures. CCA indicates complete-case analysis; FCS-MI, fully conditional specification multiple imputation; JM-MI, joint-model multiple imputation; IPW, inverse probability weighting; AIPW, augmented inverse probability weighting; CI, confidence interval.</w:t>
            </w:r>
          </w:p>
        </w:tc>
      </w:tr>
    </w:tbl>
    <w:sectPr>
      <w:pgMar w:header="708" w:bottom="792" w:top="792" w:right="792" w:left="792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2026-09-29T18:20:24Z</dcterms:modified>
  <cp:category/>
</cp:coreProperties>
</file>