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4B. Comparison of statistical methods for estimating associations between everyday discrimination and epigenetic aging in MIDUS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0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GrimAge2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DunedinPACE</w:t>
            </w:r>
          </w:p>
        </w:tc>
      </w:tr>
      <w:tr>
        <w:trPr>
          <w:trHeight w:val="50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 value</w:t>
            </w:r>
          </w:p>
        </w:tc>
      </w:tr>
      <w:tr>
        <w:trPr>
          <w:trHeight w:val="48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Naive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0.0678 (0.0369 to 0.0988)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0.1670 (0.1019 to 0.2320)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0.0488 (0.0114 to 0.0862)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0.1302 (0.0503 to 0.2101)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FCS-MI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0.0655 (0.0346 to 0.0963)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0.1617 (0.0958 to 0.2276)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JM-MI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0.0658 (0.0348 to 0.0968)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0.1615 (0.0959 to 0.2271)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IPW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0.0461 (0.0041 to 0.0881)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0.1273 (0.0464 to 0.2082)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49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AIPW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0.0659 (0.0315 to 0.1004)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0.1618 (0.0928 to 0.2308)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Note: Values are standardized regression coefficients (95% CIs), representing the SD difference in the epigenetic-aging outcome associated with a 1-SD higher everyday discrimination score. The Phase-1 analytic sample included N = 786 participants; N = 518 had complete Phase-2 RNA-marker measurements. All approaches adjust for age, sex, and race/ethnicity. The Naive analysis does not include the RNA markers; CCA, FCS-MI, JM-MI, IPW, and AIPW incorporate the eight Phase-2 RNA leukocyte-marker transcripts according to their respective procedures. CCA indicates complete-case analysis; FCS-MI, fully conditional specification multiple imputation; JM-MI, joint-model multiple imputation; IPW, inverse probability weighting; AIPW, augmented inverse probability weighting; CI, confidence interval.</w:t>
            </w:r>
          </w:p>
        </w:tc>
      </w:tr>
    </w:tbl>
    <w:sectPr>
      <w:pgMar w:header="708" w:bottom="864" w:top="864" w:right="936" w:left="936" w:footer="708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2026-09-29T18:20:25Z</dcterms:modified>
  <cp:category/>
</cp:coreProperties>
</file>