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4. Pearson correlations among Phase-2 characteristics and RNA leukocyte-marker transcripts in the MIDUS Refresher analytic sample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72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1. GrimAge2 z-score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2. DunedinPACE z-score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3. 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4. Daily discrimination z-score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5. CD19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6. CD3D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7. CD3E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8. CD4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9. CD8A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10. CD14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11. FCGR3A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-0.10*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12. NCAM1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-0.09*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0.43***</w:t>
            </w:r>
          </w:p>
        </w:tc>
      </w:tr>
      <w:tr>
        <w:trPr>
          <w:trHeight w:val="360" w:hRule="auto"/>
        </w:trPr>
        <w:tc>
          <w:tcPr>
            <w:gridSpan w:val="12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Note: Pearson correlations among Phase-2 participants (N = 518). GrimAge2, DunedinPACE, and daily discrimination are standardized z-scores; age is reported in years. CD19, CD3D, CD3E, CD4, CD8A, CD14, FCGR3A, and NCAM1 are log2-transformed normalized transcript-abundance values. *p &lt; 0.05; **p &lt; 0.01; ***p &lt; 0.001.</w:t>
            </w:r>
          </w:p>
        </w:tc>
      </w:tr>
    </w:tbl>
    <w:sectPr>
      <w:pgMar w:header="708" w:bottom="792" w:top="792" w:right="792" w:left="792" w:footer="708" w:gutter="0"/>
      <w:pgSz w:h="12240" w:w="15840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2026-09-29T18:20:24Z</dcterms:modified>
  <cp:category/>
</cp:coreProperties>
</file>