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3. Characteristics by Phase-2 RNA-marker availability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Characteristics of the MIDUS analytic sample by Phase-2 RNA-marker availability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Phase 1 only, N = 268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Phase 2, N = 518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SMD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Age, years,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49.4 (13.5)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51.8 (13.3)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124 (46.3)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254 (49.0)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144 (53.7)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264 (51.0)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Race/ethnicity,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175 (65.3)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370 (71.4)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62 (23.1)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88 (17.0)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60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Everyday discrimination, standardized,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 (0.96)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 (1.02)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GrimAge2, standardized,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-0.11 (1.01)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 (0.99)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DunedinPACE, standardized,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</w:t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CD19,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3.70 (1.19)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CD3D,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5.60 (1.16)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CD3E,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5.40 (0.66)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CD4,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5.12 (1.00)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CD8A,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4.01 (1.23)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CD14,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7.07 (1.36)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4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FCGR3A,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5.22 (1.48)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50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NCAM1,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2.85 (1.18)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Note: Phase 1 only denotes participants in the Phase-1 analytic sample without complete measurements of all eight RNA leukocyte-marker transcripts; Phase 2 denotes participants with complete measurements of all eight markers. Everyday discrimination, GrimAge2, and DunedinPACE were standardized to mean 0 and SD 1 in the full Phase-1 analytic sample. RNA-marker values are shown on their original log2-normalized transcript-abundance scale for Phase 2. Because the RNA markers are unobserved by design in the Phase 1 only group, no Phase-1 summary or SMD is shown for those marker rows. SMD indicates the absolute standardized mean difference.</w:t>
            </w:r>
          </w:p>
        </w:tc>
      </w:tr>
    </w:tbl>
    <w:p>
      <w:pPr>
        <w:pStyle w:val="Titre2"/>
      </w:pPr>
      <w:r>
        <w:t xml:space="preserve">Table 4. Phase-2 Pearson correlation matrix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Pearson correlations among Phase-2 characteristics and RNA leukocyte-marker transcripts in the MIDUS Refresher analytic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72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 GrimAge2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 DunedinPACE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 Daily discrimination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 CD19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6. CD3D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7. CD3E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8. CD4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9. CD8A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10. CD14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11. FCGR3A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12. NCAM1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0.43***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Note: Pearson correlations among Phase-2 participants (N = 518). GrimAge2, DunedinPACE, and daily discrimination are standardized z-scores; age is reported in years. CD19, CD3D, CD3E, CD4, CD8A, CD14, FCGR3A, and NCAM1 are log2-transformed normalized transcript-abundance values. *p &lt; 0.05; **p &lt; 0.01; ***p &lt; 0.001.</w:t>
            </w:r>
          </w:p>
        </w:tc>
      </w:tr>
    </w:tbl>
    <w:p>
      <w:pPr>
        <w:pStyle w:val="Titre2"/>
      </w:pPr>
      <w:r>
        <w:t xml:space="preserve">Table 4A. Method comparison — methods in columns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4A. Comparison of statistical methods for estimating associations between everyday discrimination and epigenetic aging in MIDUS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8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Naive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FCS-MI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JM-MI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IPW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AIPW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GrimAge2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0.0678 (0.0369 to 0.0988)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0.0488 (0.0114 to 0.0862)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0.0655 (0.0346 to 0.0963)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0.0658 (0.0348 to 0.0968)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0.0461 (0.0041 to 0.0881)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0.0659 (0.0315 to 0.1004)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DunedinPACE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0.1670 (0.1019 to 0.2320)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0.1302 (0.0503 to 0.2101)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0.1617 (0.0958 to 0.2276)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0.1615 (0.0959 to 0.2271)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0.1273 (0.0464 to 0.2082)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0.1618 (0.0928 to 0.2308)</w:t>
            </w:r>
          </w:p>
        </w:tc>
      </w:tr>
      <w:tr>
        <w:trPr>
          <w:trHeight w:val="47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Note: Values are standardized regression coefficients (95% CIs), representing the SD difference in the epigenetic-aging outcome associated with a 1-SD higher everyday discrimination score. The Phase-1 analytic sample included N = 786 participants; N = 518 had complete Phase-2 RNA-marker measurements. All approaches adjust for age, sex, and race/ethnicity. The Naive analysis does not include the RNA markers; CCA, FCS-MI, JM-MI, IPW, and AIPW incorporate the eight Phase-2 RNA leukocyte-marker transcripts according to their respective procedures. CCA indicates complete-case analysis; FCS-MI, fully conditional specification multiple imputation; JM-MI, joint-model multiple imputation; IPW, inverse probability weighting; AIPW, augmented inverse probability weighting; CI, confidence interval.</w:t>
            </w:r>
          </w:p>
        </w:tc>
      </w:tr>
    </w:tbl>
    <w:p>
      <w:pPr>
        <w:pStyle w:val="Titre2"/>
      </w:pPr>
      <w:r>
        <w:t xml:space="preserve">Table 4B. Method comparison — methods in rows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4B. Comparison of statistical methods for estimating associations between everyday discrimination and epigenetic aging in MIDUS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0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GrimAge2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DunedinPACE</w:t>
            </w:r>
          </w:p>
        </w:tc>
      </w:tr>
      <w:tr>
        <w:trPr>
          <w:trHeight w:val="50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Naive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0.0678 (0.0369 to 0.0988)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0.1670 (0.1019 to 0.2320)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0.0488 (0.0114 to 0.0862)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0.1302 (0.0503 to 0.2101)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FCS-MI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0.0655 (0.0346 to 0.0963)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0.1617 (0.0958 to 0.2276)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JM-MI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0.0658 (0.0348 to 0.0968)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0.1615 (0.0959 to 0.2271)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IPW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0.0461 (0.0041 to 0.0881)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0.1273 (0.0464 to 0.2082)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49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AIPW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0.0659 (0.0315 to 0.1004)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0.1618 (0.0928 to 0.2308)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Note: Values are standardized regression coefficients (95% CIs), representing the SD difference in the epigenetic-aging outcome associated with a 1-SD higher everyday discrimination score. The Phase-1 analytic sample included N = 786 participants; N = 518 had complete Phase-2 RNA-marker measurements. All approaches adjust for age, sex, and race/ethnicity. The Naive analysis does not include the RNA markers; CCA, FCS-MI, JM-MI, IPW, and AIPW incorporate the eight Phase-2 RNA leukocyte-marker transcripts according to their respective procedures. CCA indicates complete-case analysis; FCS-MI, fully conditional specification multiple imputation; JM-MI, joint-model multiple imputation; IPW, inverse probability weighting; AIPW, augmented inverse probability weighting; CI, confidence interval.</w:t>
            </w:r>
          </w:p>
        </w:tc>
      </w:tr>
    </w:tbl>
    <w:sectPr>
      <w:pgMar w:header="708" w:bottom="792" w:top="792" w:right="792" w:left="792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2026-09-29T18:20:26Z</dcterms:modified>
  <cp:category/>
</cp:coreProperties>
</file>