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Characteristics of the MIDUS analytic sample by Phase-2 RNA-marker availability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Phase 1 only, N = 268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Phase 2, N = 518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SMD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Age, years,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49.4 (13.5)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51.8 (13.3)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124 (46.3)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254 (49.0)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144 (53.7)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264 (51.0)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Race/ethnicity,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175 (65.3)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370 (71.4)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62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88 (17.0)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Everyday discrimination, standardized,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 (0.96)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 (1.02)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GrimAge2, standardized,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-0.11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 (0.99)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DunedinPACE, standardized,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CD19,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3.70 (1.19)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CD3D,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5.60 (1.16)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CD3E,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5.40 (0.66)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CD4,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5.12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CD8A,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4.01 (1.23)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CD14,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7.07 (1.36)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FCGR3A,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5.22 (1.48)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50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NCAM1,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2.85 (1.18)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Note: Phase 1 only denotes participants in the Phase-1 analytic sample without complete measurements of all eight RNA leukocyte-marker transcripts; Phase 2 denotes participants with complete measurements of all eight markers. Everyday discrimination, GrimAge2, and DunedinPACE were standardized to mean 0 and SD 1 in the full Phase-1 analytic sample. RNA-marker values are shown on their original log2-normalized transcript-abundance scale for Phase 2. Because the RNA markers are unobserved by design in the Phase 1 only group, no Phase-1 summary or SMD is shown for those marker rows. SMD indicates the absolute standardized mean difference.</w:t>
            </w:r>
          </w:p>
        </w:tc>
      </w:tr>
    </w:tbl>
    <w:sectPr>
      <w:pgMar w:header="708" w:bottom="864" w:top="864" w:right="936" w:left="936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2026-09-29T18:20:23Z</dcterms:modified>
  <cp:category/>
</cp:coreProperties>
</file>