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4A. Methods in columns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4A. Comparison of statistical methods for estimating associations between everyday discrimination and epigenetic aging in MIDUS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8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Naive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FCS-MI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JM-MI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IPW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AIPW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0.0678 (0.0369 to 0.0988)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0.0488 (0.0114 to 0.0862)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0.0655 (0.0346 to 0.0963)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0.0658 (0.0348 to 0.0968)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0.0461 (0.0041 to 0.0881)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0.0659 (0.0315 to 0.1004)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0.1670 (0.1019 to 0.2320)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0.1302 (0.0503 to 0.2101)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0.1617 (0.0958 to 0.2276)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0.1615 (0.0959 to 0.2271)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0.1273 (0.0464 to 0.2082)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0.1618 (0.0928 to 0.2308)</w:t>
            </w:r>
          </w:p>
        </w:tc>
      </w:tr>
      <w:tr>
        <w:trPr>
          <w:trHeight w:val="47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Note: Values are standardized regression coefficients (95% CIs), representing the SD difference in the epigenetic-aging outcome associated with a 1-SD higher everyday discrimination score. The Phase-1 analytic sample included N = 786 participants; N = 518 had complete Phase-2 RNA-marker measurements. All approaches adjust for age, sex, and race/ethnicity. The Naive analysis does not include the RNA markers; CCA, FCS-MI, JM-MI, IPW, and AIPW incorporate the eight Phase-2 RNA leukocyte-marker transcripts according to their respective procedures. CCA indicates complete-case analysis; FCS-MI, fully conditional specification multiple imputation; JM-MI, joint-model multiple imputation; IPW, inverse probability weighting; AIPW, augmented inverse probability weighting; CI, confidence interval.</w:t>
            </w:r>
          </w:p>
        </w:tc>
      </w:tr>
    </w:tbl>
    <w:p>
      <w:pPr>
        <w:pStyle w:val="Titre2"/>
      </w:pPr>
      <w:r>
        <w:t xml:space="preserve">Table 4B. Methods in rows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4B. Comparison of statistical methods for estimating associations between everyday discrimination and epigenetic aging in MIDUS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GrimAge2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DunedinPACE</w:t>
            </w:r>
          </w:p>
        </w:tc>
      </w:tr>
      <w:tr>
        <w:trPr>
          <w:trHeight w:val="5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Naive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0.0678 (0.0369 to 0.0988)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0.1670 (0.1019 to 0.2320)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0.0488 (0.0114 to 0.0862)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0.1302 (0.0503 to 0.2101)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FCS-MI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0.0655 (0.0346 to 0.0963)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0.1617 (0.0958 to 0.2276)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JM-MI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0.0658 (0.0348 to 0.0968)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0.1615 (0.0959 to 0.2271)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0.0461 (0.0041 to 0.0881)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 (0.0464 to 0.2082)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AIPW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0.0659 (0.0315 to 0.1004)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0.1618 (0.0928 to 0.2308)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Note: Values are standardized regression coefficients (95% CIs), representing the SD difference in the epigenetic-aging outcome associated with a 1-SD higher everyday discrimination score. The Phase-1 analytic sample included N = 786 participants; N = 518 had complete Phase-2 RNA-marker measurements. All approaches adjust for age, sex, and race/ethnicity. The Naive analysis does not include the RNA markers; CCA, FCS-MI, JM-MI, IPW, and AIPW incorporate the eight Phase-2 RNA leukocyte-marker transcripts according to their respective procedures. CCA indicates complete-case analysis; FCS-MI, fully conditional specification multiple imputation; JM-MI, joint-model multiple imputation; IPW, inverse probability weighting; AIPW, augmented inverse probability weighting; CI, confidence interval.</w:t>
            </w:r>
          </w:p>
        </w:tc>
      </w:tr>
    </w:tbl>
    <w:sectPr>
      <w:pgMar w:header="708" w:bottom="792" w:top="792" w:right="792" w:left="79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2026-09-29T18:20:25Z</dcterms:modified>
  <cp:category/>
</cp:coreProperties>
</file>