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Evaluation</w:t>
      </w:r>
      <w:r>
        <w:t xml:space="preserve"> </w:t>
      </w:r>
      <w:r>
        <w:t xml:space="preserve">of</w:t>
      </w:r>
      <w:r>
        <w:t xml:space="preserve"> </w:t>
      </w:r>
      <w:r>
        <w:t xml:space="preserve">Pestivirus</w:t>
      </w:r>
      <w:r>
        <w:t xml:space="preserve"> </w:t>
      </w:r>
      <w:r>
        <w:t xml:space="preserve">primers</w:t>
      </w:r>
    </w:p>
    <w:p>
      <w:pPr>
        <w:pStyle w:val="Compact"/>
        <w:numPr>
          <w:numId w:val="1001"/>
          <w:ilvl w:val="0"/>
        </w:numPr>
      </w:pPr>
      <w:r>
        <w:t xml:space="preserve">The following primer and probe sets were evaluated:</w:t>
      </w:r>
    </w:p>
    <w:p>
      <w:pPr>
        <w:pStyle w:val="FirstParagraph"/>
      </w:pPr>
      <w:r>
        <w:rPr>
          <w:b/>
        </w:rPr>
        <w:t xml:space="preserve">Pan-Pestivirus primers</w:t>
      </w:r>
    </w:p>
    <w:p>
      <w:pPr>
        <w:pStyle w:val="Compact"/>
        <w:numPr>
          <w:numId w:val="1002"/>
          <w:ilvl w:val="0"/>
        </w:numPr>
      </w:pPr>
      <w:r>
        <w:rPr>
          <w:i/>
        </w:rPr>
        <w:t xml:space="preserve">Pesti-11453-F</w:t>
      </w:r>
    </w:p>
    <w:p>
      <w:pPr>
        <w:pStyle w:val="Compact"/>
        <w:numPr>
          <w:numId w:val="1002"/>
          <w:ilvl w:val="0"/>
        </w:numPr>
      </w:pPr>
      <w:r>
        <w:rPr>
          <w:i/>
        </w:rPr>
        <w:t xml:space="preserve">Pesti-11607-R</w:t>
      </w:r>
    </w:p>
    <w:p>
      <w:pPr>
        <w:pStyle w:val="FirstParagraph"/>
      </w:pPr>
      <w:r>
        <w:rPr>
          <w:b/>
        </w:rPr>
        <w:t xml:space="preserve">Atypical porcine pestivirus primer and probe set</w:t>
      </w:r>
    </w:p>
    <w:p>
      <w:pPr>
        <w:pStyle w:val="Compact"/>
        <w:numPr>
          <w:numId w:val="1003"/>
          <w:ilvl w:val="0"/>
        </w:numPr>
      </w:pPr>
      <w:r>
        <w:rPr>
          <w:i/>
        </w:rPr>
        <w:t xml:space="preserve">APPV-NS5B-303F</w:t>
      </w:r>
    </w:p>
    <w:p>
      <w:pPr>
        <w:pStyle w:val="Compact"/>
        <w:numPr>
          <w:numId w:val="1003"/>
          <w:ilvl w:val="0"/>
        </w:numPr>
      </w:pPr>
      <w:r>
        <w:rPr>
          <w:i/>
        </w:rPr>
        <w:t xml:space="preserve">APPV-NS5B-385R</w:t>
      </w:r>
    </w:p>
    <w:p>
      <w:pPr>
        <w:pStyle w:val="Compact"/>
        <w:numPr>
          <w:numId w:val="1003"/>
          <w:ilvl w:val="0"/>
        </w:numPr>
      </w:pPr>
      <w:r>
        <w:rPr>
          <w:i/>
        </w:rPr>
        <w:t xml:space="preserve">APPV-NS5B-335-FAM</w:t>
      </w:r>
      <w:r>
        <w:t xml:space="preserve"> </w:t>
      </w:r>
      <w:r>
        <w:t xml:space="preserve">(probe)</w:t>
      </w:r>
    </w:p>
    <w:p>
      <w:pPr>
        <w:pStyle w:val="Compact"/>
        <w:numPr>
          <w:numId w:val="1004"/>
          <w:ilvl w:val="0"/>
        </w:numPr>
      </w:pPr>
      <w:r>
        <w:t xml:space="preserve">Two databases were used to test the primers:</w:t>
      </w:r>
    </w:p>
    <w:p>
      <w:pPr>
        <w:pStyle w:val="FirstParagraph"/>
      </w:pPr>
      <w:r>
        <w:t xml:space="preserve">Includes 2261 sequences of</w:t>
      </w:r>
      <w:r>
        <w:t xml:space="preserve"> </w:t>
      </w:r>
      <w:r>
        <w:rPr>
          <w:b/>
        </w:rPr>
        <w:t xml:space="preserve">Pestiviruses NS5B</w:t>
      </w:r>
      <w:r>
        <w:t xml:space="preserve"> </w:t>
      </w:r>
      <w:r>
        <w:t xml:space="preserve">(BVDV 1 and 2, CSFV, Border disease;</w:t>
      </w:r>
      <w:r>
        <w:t xml:space="preserve"> </w:t>
      </w:r>
      <w:r>
        <w:rPr>
          <w:b/>
        </w:rPr>
        <w:t xml:space="preserve">2000 sequences</w:t>
      </w:r>
      <w:r>
        <w:t xml:space="preserve">) and</w:t>
      </w:r>
      <w:r>
        <w:t xml:space="preserve"> </w:t>
      </w:r>
      <w:r>
        <w:rPr>
          <w:b/>
        </w:rPr>
        <w:t xml:space="preserve">Unclassified Pestiviruses</w:t>
      </w:r>
      <w:r>
        <w:t xml:space="preserve">(BVDV 3, APPV, rat pestiviruses;</w:t>
      </w:r>
      <w:r>
        <w:t xml:space="preserve"> </w:t>
      </w:r>
      <w:r>
        <w:rPr>
          <w:b/>
        </w:rPr>
        <w:t xml:space="preserve">261 sequences</w:t>
      </w:r>
      <w:r>
        <w:t xml:space="preserve">).</w:t>
      </w:r>
    </w:p>
    <w:p>
      <w:pPr>
        <w:pStyle w:val="BodyText"/>
      </w:pPr>
      <w:r>
        <w:t xml:space="preserve">Only sequences equal or larger than 200 nucleotides were evaluated.</w:t>
      </w:r>
    </w:p>
    <w:p>
      <w:pPr>
        <w:numPr>
          <w:numId w:val="1005"/>
          <w:ilvl w:val="0"/>
        </w:numPr>
      </w:pPr>
      <w:hyperlink r:id="rId21">
        <w:r>
          <w:rPr>
            <w:rStyle w:val="Hyperlink"/>
          </w:rPr>
          <w:t xml:space="preserve">NCBI's e-PCR standalone application</w:t>
        </w:r>
      </w:hyperlink>
      <w:r>
        <w:t xml:space="preserve"> </w:t>
      </w:r>
      <w:r>
        <w:t xml:space="preserve">was used to evaluate the primers vs. the databases. Results are presented as a combination of hits with 0, 1, 2 and 3 mismatches.</w:t>
      </w:r>
    </w:p>
    <w:p>
      <w:pPr>
        <w:numPr>
          <w:numId w:val="1005"/>
          <w:ilvl w:val="0"/>
        </w:numPr>
      </w:pPr>
      <w:r>
        <w:t xml:space="preserve">Summary of results</w:t>
      </w:r>
    </w:p>
    <w:p>
      <w:pPr>
        <w:pStyle w:val="Heading3"/>
      </w:pPr>
      <w:bookmarkStart w:id="22" w:name="species-coverage-of-individual-pan-pestivirus-primers-vs.-pestivirus-database"/>
      <w:bookmarkEnd w:id="22"/>
      <w:r>
        <w:t xml:space="preserve">Species coverage of individual pan-Pestivirus primers vs. Pestivirus database</w:t>
      </w:r>
    </w:p>
    <w:p>
      <w:pPr>
        <w:pStyle w:val="FirstParagraph"/>
      </w:pPr>
      <w:r>
        <w:t xml:space="preserve">The results for the most important pestiviruses are reported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Organism</w:t>
            </w:r>
          </w:p>
        </w:tc>
        <w:tc>
          <w:tcPr>
            <w:tcBorders>
              <w:bottom w:val="single"/>
            </w:tcBorders>
            <w:vAlign w:val="bottom"/>
          </w:tcPr>
          <w:p>
            <w:pPr>
              <w:pStyle w:val="Compact"/>
              <w:jc w:val="left"/>
            </w:pPr>
            <w:r>
              <w:t xml:space="preserve">Pesti-11453-F %Hits</w:t>
            </w:r>
          </w:p>
        </w:tc>
        <w:tc>
          <w:tcPr>
            <w:tcBorders>
              <w:bottom w:val="single"/>
            </w:tcBorders>
            <w:vAlign w:val="bottom"/>
          </w:tcPr>
          <w:p>
            <w:pPr>
              <w:pStyle w:val="Compact"/>
              <w:jc w:val="left"/>
            </w:pPr>
            <w:r>
              <w:t xml:space="preserve">Pesti-11607-R %Hits</w:t>
            </w:r>
          </w:p>
        </w:tc>
        <w:tc>
          <w:tcPr>
            <w:tcBorders>
              <w:bottom w:val="single"/>
            </w:tcBorders>
            <w:vAlign w:val="bottom"/>
          </w:tcPr>
          <w:p>
            <w:pPr>
              <w:pStyle w:val="Compact"/>
              <w:jc w:val="left"/>
            </w:pPr>
            <w:r>
              <w:t xml:space="preserve">Pesti-11453-F Hits</w:t>
            </w:r>
          </w:p>
        </w:tc>
        <w:tc>
          <w:tcPr>
            <w:tcBorders>
              <w:bottom w:val="single"/>
            </w:tcBorders>
            <w:vAlign w:val="bottom"/>
          </w:tcPr>
          <w:p>
            <w:pPr>
              <w:pStyle w:val="Compact"/>
              <w:jc w:val="left"/>
            </w:pPr>
            <w:r>
              <w:t xml:space="preserve">Pesti-11607-R Hits</w:t>
            </w:r>
          </w:p>
        </w:tc>
      </w:tr>
      <w:tr>
        <w:tc>
          <w:p>
            <w:pPr>
              <w:pStyle w:val="Compact"/>
              <w:jc w:val="left"/>
            </w:pPr>
            <w:r>
              <w:t xml:space="preserve">Border disease virus</w:t>
            </w:r>
          </w:p>
        </w:tc>
        <w:tc>
          <w:p>
            <w:pPr>
              <w:pStyle w:val="Compact"/>
              <w:jc w:val="left"/>
            </w:pPr>
            <w:r>
              <w:t xml:space="preserve">31.03</w:t>
            </w:r>
          </w:p>
        </w:tc>
        <w:tc>
          <w:p>
            <w:pPr>
              <w:pStyle w:val="Compact"/>
              <w:jc w:val="left"/>
            </w:pPr>
            <w:r>
              <w:t xml:space="preserve">31.03</w:t>
            </w:r>
          </w:p>
        </w:tc>
        <w:tc>
          <w:p>
            <w:pPr>
              <w:pStyle w:val="Compact"/>
              <w:jc w:val="left"/>
            </w:pPr>
            <w:r>
              <w:t xml:space="preserve">9 / 29</w:t>
            </w:r>
          </w:p>
        </w:tc>
        <w:tc>
          <w:p>
            <w:pPr>
              <w:pStyle w:val="Compact"/>
              <w:jc w:val="left"/>
            </w:pPr>
            <w:r>
              <w:t xml:space="preserve">9 / 29</w:t>
            </w:r>
          </w:p>
        </w:tc>
      </w:tr>
      <w:tr>
        <w:tc>
          <w:p>
            <w:pPr>
              <w:pStyle w:val="Compact"/>
              <w:jc w:val="left"/>
            </w:pPr>
            <w:r>
              <w:t xml:space="preserve">Bovine viral diarrhea virus 1</w:t>
            </w:r>
          </w:p>
        </w:tc>
        <w:tc>
          <w:p>
            <w:pPr>
              <w:pStyle w:val="Compact"/>
              <w:jc w:val="left"/>
            </w:pPr>
            <w:r>
              <w:t xml:space="preserve">49.85</w:t>
            </w:r>
          </w:p>
        </w:tc>
        <w:tc>
          <w:p>
            <w:pPr>
              <w:pStyle w:val="Compact"/>
              <w:jc w:val="left"/>
            </w:pPr>
            <w:r>
              <w:t xml:space="preserve">33.77</w:t>
            </w:r>
          </w:p>
        </w:tc>
        <w:tc>
          <w:p>
            <w:pPr>
              <w:pStyle w:val="Compact"/>
              <w:jc w:val="left"/>
            </w:pPr>
            <w:r>
              <w:t xml:space="preserve">648 / 1300</w:t>
            </w:r>
          </w:p>
        </w:tc>
        <w:tc>
          <w:p>
            <w:pPr>
              <w:pStyle w:val="Compact"/>
              <w:jc w:val="left"/>
            </w:pPr>
            <w:r>
              <w:t xml:space="preserve">439 / 1300</w:t>
            </w:r>
          </w:p>
        </w:tc>
      </w:tr>
      <w:tr>
        <w:tc>
          <w:p>
            <w:pPr>
              <w:pStyle w:val="Compact"/>
              <w:jc w:val="left"/>
            </w:pPr>
            <w:r>
              <w:t xml:space="preserve">Bovine viral diarrhea virus 2</w:t>
            </w:r>
          </w:p>
        </w:tc>
        <w:tc>
          <w:p>
            <w:pPr>
              <w:pStyle w:val="Compact"/>
              <w:jc w:val="left"/>
            </w:pPr>
            <w:r>
              <w:t xml:space="preserve">87.93</w:t>
            </w:r>
          </w:p>
        </w:tc>
        <w:tc>
          <w:p>
            <w:pPr>
              <w:pStyle w:val="Compact"/>
              <w:jc w:val="left"/>
            </w:pPr>
            <w:r>
              <w:t xml:space="preserve">62.93</w:t>
            </w:r>
          </w:p>
        </w:tc>
        <w:tc>
          <w:p>
            <w:pPr>
              <w:pStyle w:val="Compact"/>
              <w:jc w:val="left"/>
            </w:pPr>
            <w:r>
              <w:t xml:space="preserve">102 /116</w:t>
            </w:r>
          </w:p>
        </w:tc>
        <w:tc>
          <w:p>
            <w:pPr>
              <w:pStyle w:val="Compact"/>
              <w:jc w:val="left"/>
            </w:pPr>
            <w:r>
              <w:t xml:space="preserve">73 / 116</w:t>
            </w:r>
          </w:p>
        </w:tc>
      </w:tr>
      <w:tr>
        <w:tc>
          <w:p>
            <w:pPr>
              <w:pStyle w:val="Compact"/>
              <w:jc w:val="left"/>
            </w:pPr>
            <w:r>
              <w:t xml:space="preserve">Bovine viral diarrhea virus 3</w:t>
            </w:r>
          </w:p>
        </w:tc>
        <w:tc>
          <w:p>
            <w:pPr>
              <w:pStyle w:val="Compact"/>
              <w:jc w:val="left"/>
            </w:pPr>
            <w:r>
              <w:t xml:space="preserve">8.63</w:t>
            </w:r>
          </w:p>
        </w:tc>
        <w:tc>
          <w:p>
            <w:pPr>
              <w:pStyle w:val="Compact"/>
              <w:jc w:val="left"/>
            </w:pPr>
            <w:r>
              <w:t xml:space="preserve">11.51</w:t>
            </w:r>
          </w:p>
        </w:tc>
        <w:tc>
          <w:p>
            <w:pPr>
              <w:pStyle w:val="Compact"/>
              <w:jc w:val="left"/>
            </w:pPr>
            <w:r>
              <w:t xml:space="preserve">12 / 139</w:t>
            </w:r>
          </w:p>
        </w:tc>
        <w:tc>
          <w:p>
            <w:pPr>
              <w:pStyle w:val="Compact"/>
              <w:jc w:val="left"/>
            </w:pPr>
            <w:r>
              <w:t xml:space="preserve">16 / 139</w:t>
            </w:r>
          </w:p>
        </w:tc>
      </w:tr>
      <w:tr>
        <w:tc>
          <w:p>
            <w:pPr>
              <w:pStyle w:val="Compact"/>
              <w:jc w:val="left"/>
            </w:pPr>
            <w:r>
              <w:t xml:space="preserve">Classical swine fever virus</w:t>
            </w:r>
          </w:p>
        </w:tc>
        <w:tc>
          <w:p>
            <w:pPr>
              <w:pStyle w:val="Compact"/>
              <w:jc w:val="left"/>
            </w:pPr>
            <w:r>
              <w:t xml:space="preserve">9.58</w:t>
            </w:r>
          </w:p>
        </w:tc>
        <w:tc>
          <w:p>
            <w:pPr>
              <w:pStyle w:val="Compact"/>
              <w:jc w:val="left"/>
            </w:pPr>
            <w:r>
              <w:t xml:space="preserve">14.29</w:t>
            </w:r>
          </w:p>
        </w:tc>
        <w:tc>
          <w:p>
            <w:pPr>
              <w:pStyle w:val="Compact"/>
              <w:jc w:val="left"/>
            </w:pPr>
            <w:r>
              <w:t xml:space="preserve">53 / 553</w:t>
            </w:r>
          </w:p>
        </w:tc>
        <w:tc>
          <w:p>
            <w:pPr>
              <w:pStyle w:val="Compact"/>
              <w:jc w:val="left"/>
            </w:pPr>
            <w:r>
              <w:t xml:space="preserve">79 / 553</w:t>
            </w:r>
          </w:p>
        </w:tc>
      </w:tr>
      <w:tr>
        <w:tc>
          <w:p>
            <w:pPr>
              <w:pStyle w:val="Compact"/>
              <w:jc w:val="left"/>
            </w:pPr>
            <w:r>
              <w:t xml:space="preserve">Porcine pestivirus 1</w:t>
            </w:r>
          </w:p>
        </w:tc>
        <w:tc>
          <w:p>
            <w:pPr>
              <w:pStyle w:val="Compact"/>
              <w:jc w:val="left"/>
            </w:pPr>
            <w:r>
              <w:t xml:space="preserve">100</w:t>
            </w:r>
          </w:p>
        </w:tc>
        <w:tc>
          <w:p>
            <w:pPr>
              <w:pStyle w:val="Compact"/>
              <w:jc w:val="left"/>
            </w:pPr>
            <w:r>
              <w:t xml:space="preserve">100</w:t>
            </w:r>
          </w:p>
        </w:tc>
        <w:tc>
          <w:p>
            <w:pPr>
              <w:pStyle w:val="Compact"/>
              <w:jc w:val="left"/>
            </w:pPr>
            <w:r>
              <w:t xml:space="preserve">2 / 2</w:t>
            </w:r>
          </w:p>
        </w:tc>
        <w:tc>
          <w:p>
            <w:pPr>
              <w:pStyle w:val="Compact"/>
              <w:jc w:val="left"/>
            </w:pPr>
            <w:r>
              <w:t xml:space="preserve">2 / 2</w:t>
            </w:r>
          </w:p>
        </w:tc>
      </w:tr>
    </w:tbl>
    <w:p>
      <w:r>
        <w:pict>
          <v:rect style="width:0;height:1.5pt" o:hralign="center" o:hrstd="t" o:hr="t"/>
        </w:pict>
      </w:r>
    </w:p>
    <w:p>
      <w:pPr>
        <w:pStyle w:val="Heading3"/>
      </w:pPr>
      <w:bookmarkStart w:id="23" w:name="atypical-pestivirus-primers"/>
      <w:bookmarkEnd w:id="23"/>
      <w:r>
        <w:t xml:space="preserve">Atypical pestivirus primers</w:t>
      </w:r>
    </w:p>
    <w:p>
      <w:pPr>
        <w:pStyle w:val="FirstParagraph"/>
      </w:pPr>
      <w:r>
        <w:t xml:space="preserve">The previous results observed with PrimerBLAST were also observed with this process. There are only two Atypical Porcine Pestivirus strains (Porcine Pestivirus 1) that are hit by both primers.</w:t>
      </w:r>
    </w:p>
    <w:p>
      <w:pPr>
        <w:pStyle w:val="BodyText"/>
      </w:pPr>
      <w:r>
        <w:t xml:space="preserve">Notably, there are</w:t>
      </w:r>
      <w:r>
        <w:t xml:space="preserve"> </w:t>
      </w:r>
      <w:r>
        <w:rPr>
          <w:b/>
        </w:rPr>
        <w:t xml:space="preserve">9 strains of BVDV3</w:t>
      </w:r>
      <w:r>
        <w:t xml:space="preserve"> </w:t>
      </w:r>
      <w:r>
        <w:t xml:space="preserve">that are hit by the</w:t>
      </w:r>
      <w:r>
        <w:t xml:space="preserve"> </w:t>
      </w:r>
      <w:r>
        <w:rPr>
          <w:b/>
        </w:rPr>
        <w:t xml:space="preserve">APPV-NS5B-303F</w:t>
      </w:r>
      <w:r>
        <w:t xml:space="preserve"> </w:t>
      </w:r>
      <w:r>
        <w:t xml:space="preserve">forward primer (all of them with 3 mismatches).</w:t>
      </w:r>
      <w:r>
        <w:t xml:space="preserve"> </w:t>
      </w:r>
      <w:r>
        <w:rPr>
          <w:b/>
        </w:rPr>
        <w:t xml:space="preserve">The reverse primer, as well as the probe, only match the two APPV strains</w:t>
      </w:r>
      <w:r>
        <w:t xml:space="preserve"> </w:t>
      </w:r>
      <w:r>
        <w:t xml:space="preserve">that were identified as being the only products of this oligo set (NCBI accessions KU194229.1 and KR011347.1). Thus, we can say that the assay is specific to two strains of APPV and that there are no concerns of amplifying other pestiviruses.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44093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22b57d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b82f5d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cdad2e4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823b2cd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www.ncbi.nlm.nih.gov/tools/epcr/" TargetMode="External" /></Relationships>
</file>

<file path=word/_rels/footnotes.xml.rels><?xml version="1.0" encoding="UTF-8"?>
<Relationships xmlns="http://schemas.openxmlformats.org/package/2006/relationships"><Relationship Type="http://schemas.openxmlformats.org/officeDocument/2006/relationships/hyperlink" Id="rId21" Target="http://www.ncbi.nlm.nih.gov/tools/epc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Pestivirus primers</dc:title>
  <dc:creator/>
</cp:coreProperties>
</file>