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Donaciones de Sangre - Casos de Uso</w:t>
      </w:r>
    </w:p>
    <w:p>
      <w:pPr>
        <w:pStyle w:val="Heading2"/>
      </w:pPr>
      <w:r>
        <w:t>1. Introducción</w:t>
      </w:r>
    </w:p>
    <w:p>
      <w:r>
        <w:t>El presente documento describe los casos de uso del Sistema de Donaciones de Sangre, desarrollado para la gestión centralizada de centros de hemoterapia, campañas, donantes y administración técnica. El sistema incorpora un nuevo módulo de autenticación segura, reemplazando el antiguo inicio de sesión con Google por un modelo propio basado en DNI + contraseña + verificación 2FA. Los diagramas de casos de uso muestran cómo interactúan los distintos actores (Administrador Técnico, Centro de Hemoterapia y Donante) con las funcionalidades del sistema.</w:t>
      </w:r>
    </w:p>
    <w:p>
      <w:pPr>
        <w:pStyle w:val="Heading2"/>
      </w:pPr>
      <w:r>
        <w:t>2. Actores del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Administrador Técnico</w:t>
            </w:r>
          </w:p>
        </w:tc>
        <w:tc>
          <w:tcPr>
            <w:tcW w:type="dxa" w:w="4320"/>
          </w:tcPr>
          <w:p>
            <w:r>
              <w:t>Usuario con permisos globales sobre el sistema. Gestiona usuarios, centros, campañas y visualiza reportes generales.</w:t>
            </w:r>
          </w:p>
        </w:tc>
      </w:tr>
      <w:tr>
        <w:tc>
          <w:tcPr>
            <w:tcW w:type="dxa" w:w="4320"/>
          </w:tcPr>
          <w:p>
            <w:r>
              <w:t>Centro de Hemoterapia</w:t>
            </w:r>
          </w:p>
        </w:tc>
        <w:tc>
          <w:tcPr>
            <w:tcW w:type="dxa" w:w="4320"/>
          </w:tcPr>
          <w:p>
            <w:r>
              <w:t>Entidad encargada de gestionar campañas de donación, administrar donantes registrados y enviar notificaciones. Accede a su panel mediante autenticación 2FA.</w:t>
            </w:r>
          </w:p>
        </w:tc>
      </w:tr>
      <w:tr>
        <w:tc>
          <w:tcPr>
            <w:tcW w:type="dxa" w:w="4320"/>
          </w:tcPr>
          <w:p>
            <w:r>
              <w:t>Donante</w:t>
            </w:r>
          </w:p>
        </w:tc>
        <w:tc>
          <w:tcPr>
            <w:tcW w:type="dxa" w:w="4320"/>
          </w:tcPr>
          <w:p>
            <w:r>
              <w:t>Usuario final que puede autenticarse, visualizar campañas disponibles, postularse a ellas y consultar el historial de donaciones o notificaciones recibidas.</w:t>
            </w:r>
          </w:p>
        </w:tc>
      </w:tr>
    </w:tbl>
    <w:p>
      <w:pPr>
        <w:pStyle w:val="Heading2"/>
      </w:pPr>
      <w:r>
        <w:t>3. Casos de uso principales</w:t>
      </w:r>
    </w:p>
    <w:p>
      <w:pPr>
        <w:pStyle w:val="Heading3"/>
      </w:pPr>
      <w:r>
        <w:t>3.1. Autenticación y Seguridad</w:t>
      </w:r>
    </w:p>
    <w:p>
      <w:r>
        <w:t>Incluye todas las acciones relacionadas con el acceso al sistema:</w:t>
        <w:br/>
        <w:t>- Registrar usuario: Permite al administrador técnico crear nuevos usuarios con su DNI, nombre, correo, contraseña hasheada y rol asignado.</w:t>
        <w:br/>
        <w:t>- Iniciar sesión (DNI + contraseña + 2FA): Autentica a los usuarios mediante credenciales propias del sistema y código de verificación temporal enviado por correo electrónico.</w:t>
        <w:br/>
        <w:t>- Verificar código 2FA: Confirma la identidad del usuario mediante un código temporal.</w:t>
        <w:br/>
        <w:t>- Recuperar contraseña: Permite restablecer el acceso enviando un enlace o código de recuperación al correo del usuario.</w:t>
      </w:r>
    </w:p>
    <w:p>
      <w:r>
        <w:t>Diagrama de caso de uso: Autenticación (Login + 2FA)</w:t>
      </w:r>
    </w:p>
    <w:p>
      <w:r>
        <w:drawing>
          <wp:inline xmlns:a="http://schemas.openxmlformats.org/drawingml/2006/main" xmlns:pic="http://schemas.openxmlformats.org/drawingml/2006/picture">
            <wp:extent cx="5029200" cy="6227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deuso-logu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3.2. Panel del Administrador Técnico</w:t>
      </w:r>
    </w:p>
    <w:p>
      <w:r>
        <w:t>Permite el control centralizado del sistema:</w:t>
        <w:br/>
        <w:t>- Administrar usuarios (CRUD): Crear, editar, activar o desactivar cuentas de centros y donantes.</w:t>
        <w:br/>
        <w:t>- Acceder al panel técnico: Visualiza estadísticas globales del sistema.</w:t>
        <w:br/>
        <w:t>- Generar reportes: Obtiene reportes de actividad, cantidad de donantes, campañas activas y estado de cada centro.</w:t>
      </w:r>
    </w:p>
    <w:p>
      <w:pPr>
        <w:pStyle w:val="Heading3"/>
      </w:pPr>
      <w:r>
        <w:t>3.3. Panel del Centro de Hemoterapia</w:t>
      </w:r>
    </w:p>
    <w:p>
      <w:r>
        <w:t>El centro accede tras autenticarse con 2FA y puede:</w:t>
        <w:br/>
        <w:t>- Gestionar campañas: Crear, editar o cerrar campañas de donación.</w:t>
        <w:br/>
        <w:t>- Gestionar donantes: Ver la lista de donantes, aplicar filtros y actualizar su estado.</w:t>
        <w:br/>
        <w:t>- Enviar notificaciones: Enviar mensajes a donantes específicos o grupos según aptitud o ubicación.</w:t>
        <w:br/>
        <w:t>- Ver historial de notificaciones: Consultar las comunicaciones enviadas anteriormente.</w:t>
      </w:r>
    </w:p>
    <w:p>
      <w:pPr>
        <w:pStyle w:val="Heading3"/>
      </w:pPr>
      <w:r>
        <w:t>3.4. Panel del Donante</w:t>
      </w:r>
    </w:p>
    <w:p>
      <w:r>
        <w:t>El donante, una vez autenticado, puede:</w:t>
        <w:br/>
        <w:t>- Acceder a su panel personal.</w:t>
        <w:br/>
        <w:t>- Ver campañas disponibles.</w:t>
        <w:br/>
        <w:t>- Suscribirse o postularse a una campaña.</w:t>
        <w:br/>
        <w:t>- Ver su historial de donaciones o notificaciones recibidas.</w:t>
        <w:br/>
        <w:t>- Actualizar sus datos personales.</w:t>
      </w:r>
    </w:p>
    <w:p>
      <w:r>
        <w:t>Diagrama de caso de uso general del sistema</w:t>
      </w:r>
    </w:p>
    <w:p>
      <w:r>
        <w:drawing>
          <wp:inline xmlns:a="http://schemas.openxmlformats.org/drawingml/2006/main" xmlns:pic="http://schemas.openxmlformats.org/drawingml/2006/picture">
            <wp:extent cx="5486400" cy="9135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deuso-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Relación entre los casos de uso</w:t>
      </w:r>
    </w:p>
    <w:p>
      <w:r>
        <w:t>El caso 'Iniciar sesión (DNI + contraseña + 2FA)' es el punto de entrada para todos los actores del sistema. Dependiendo del rol del usuario autenticado, el sistema redirige al panel correspondiente:</w:t>
        <w:br/>
        <w:t>- Administrador Técnico → Panel técnico</w:t>
        <w:br/>
        <w:t>- Centro de Hemoterapia → Panel de centro</w:t>
        <w:br/>
        <w:t>- Donante → Panel personal</w:t>
        <w:br/>
        <w:br/>
        <w:t>El caso 'Verificar código 2FA' está incluido en el flujo de inicio de sesión, mientras que 'Recuperar contraseña' y 'Registrar usuario' son extensiones opcionales del mismo.</w:t>
      </w:r>
    </w:p>
    <w:p>
      <w:pPr>
        <w:pStyle w:val="Heading2"/>
      </w:pPr>
      <w:r>
        <w:t>5. Conclusión</w:t>
      </w:r>
    </w:p>
    <w:p>
      <w:r>
        <w:t>La nueva estructura de autenticación refuerza la seguridad y control del sistema, eliminando dependencias externas como Google OAuth y permitiendo un manejo interno de usuarios. El diseño modular facilita futuras ampliaciones, como autenticación por SMS, validación por token o integración con aplicaciones móviles.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