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t>2024年已立项教学改革课题的命名特征主要体现在以下几个方面：</w:t>
      </w:r>
      <w:r/>
      <w:r/>
    </w:p>
    <w:p>
      <w:pPr>
        <w:pStyle w:val="ListNumber"/>
        <w:spacing w:line="240" w:lineRule="auto"/>
        <w:ind w:left="720"/>
      </w:pPr>
      <w:r/>
      <w:r/>
    </w:p>
    <w:p>
      <w:r/>
      <w:r>
        <w:rPr>
          <w:b/>
        </w:rPr>
        <w:t>学科+技术/理念结合</w:t>
      </w:r>
      <w:r>
        <w:t>：常以学科课程为主体，与先进技术（如AI、大模型、VR等）或教学理念（如PBL、OBE理念、CBL、TL学习等）相结合，体现学科与前沿技术或教育方法的融合。例如，“人工智能赋能《大气污染控制工程》：课程知识图谱的构建与产教融合创新实践”。</w:t>
      </w:r>
      <w:r/>
      <w:r/>
    </w:p>
    <w:p>
      <w:pPr>
        <w:pStyle w:val="ListNumber"/>
        <w:spacing w:line="240" w:lineRule="auto"/>
        <w:ind w:left="720"/>
      </w:pPr>
      <w:r/>
      <w:r/>
    </w:p>
    <w:p>
      <w:r/>
      <w:r>
        <w:rPr>
          <w:b/>
        </w:rPr>
        <w:t>目标导向明确</w:t>
      </w:r>
      <w:r>
        <w:t>：名称突出了课程改革的具体目标，例如培养本科生创新能力、增强学生实践能力或优化教学评价体系。如“基于科教融合环境工程专业本科生创新能力培养模式探索与实践”。</w:t>
      </w:r>
      <w:r/>
      <w:r/>
    </w:p>
    <w:p>
      <w:pPr>
        <w:pStyle w:val="ListNumber"/>
        <w:spacing w:line="240" w:lineRule="auto"/>
        <w:ind w:left="720"/>
      </w:pPr>
      <w:r/>
      <w:r/>
    </w:p>
    <w:p>
      <w:r/>
      <w:r>
        <w:rPr>
          <w:b/>
        </w:rPr>
        <w:t>模型或方法设计</w:t>
      </w:r>
      <w:r>
        <w:t>：标题中经常突出具体的教学模型或教学方法，展现研究的实际路径及可操作性。比如，“基于OBE+CIPP评价模型和PDCA循环构建临床医学‘大思政课’教学评价指标体系的研究”。</w:t>
      </w:r>
      <w:r/>
      <w:r/>
    </w:p>
    <w:p>
      <w:pPr>
        <w:pStyle w:val="ListNumber"/>
        <w:spacing w:line="240" w:lineRule="auto"/>
        <w:ind w:left="720"/>
      </w:pPr>
      <w:r/>
      <w:r/>
    </w:p>
    <w:p>
      <w:r/>
      <w:r>
        <w:rPr>
          <w:b/>
        </w:rPr>
        <w:t>产教融合与科教结合</w:t>
      </w:r>
      <w:r>
        <w:t>：课题侧重产教融合、科教结合以及与行业需求的对接，注重应用型人才的培养。如“新农科背景下基于现代畜牧产业学院的动物科学专业人才培养模式创新与实践”。</w:t>
      </w:r>
      <w:r/>
      <w:r/>
    </w:p>
    <w:p>
      <w:pPr>
        <w:pStyle w:val="ListNumber"/>
        <w:spacing w:line="240" w:lineRule="auto"/>
        <w:ind w:left="720"/>
      </w:pPr>
      <w:r/>
      <w:r/>
    </w:p>
    <w:p>
      <w:r/>
      <w:r>
        <w:rPr>
          <w:b/>
        </w:rPr>
        <w:t>跨学科、跨领域协作</w:t>
      </w:r>
      <w:r>
        <w:t>：注重跨学科融合教学、社会服务能力的培养，以及与其他专业之间的协作，如“新文科背景下广告跨学科‘理实一体化’课改研究——以消费行为与营销课程为例”。</w:t>
      </w:r>
      <w:r/>
      <w:r/>
    </w:p>
    <w:p>
      <w:pPr>
        <w:pStyle w:val="ListNumber"/>
        <w:spacing w:line="240" w:lineRule="auto"/>
        <w:ind w:left="720"/>
      </w:pPr>
      <w:r/>
      <w:r/>
    </w:p>
    <w:p>
      <w:r/>
      <w:r>
        <w:rPr>
          <w:b/>
        </w:rPr>
        <w:t>思政课程和文化融入</w:t>
      </w:r>
      <w:r>
        <w:t>：课题关注课程思政建设以及传统文化、社会价值等要素融入课程内容，例如：“三融赋能、跨界贯通、语言铸魂：‘语言学概论’课程思政改革与探索”。</w:t>
      </w:r>
      <w:r/>
      <w:r/>
    </w:p>
    <w:p>
      <w:pPr>
        <w:pStyle w:val="ListNumber"/>
        <w:spacing w:line="240" w:lineRule="auto"/>
        <w:ind w:left="720"/>
      </w:pPr>
      <w:r/>
      <w:r/>
    </w:p>
    <w:p>
      <w:r/>
      <w:r>
        <w:rPr>
          <w:b/>
        </w:rPr>
        <w:t>结构清晰</w:t>
      </w:r>
      <w:r>
        <w:t>：标题常采用“主副标题”的形式，将研究方法或核心内容放在副标题中，明确课题的内容框架。例如“雨课堂联合BOPPPS教学模式在《耳鼻咽喉头颈外科学》课程教学中的实践”。</w:t>
      </w:r>
      <w:r/>
      <w:r/>
    </w:p>
    <w:p>
      <w:pPr>
        <w:pStyle w:val="ListNumber"/>
        <w:spacing w:line="240" w:lineRule="auto"/>
        <w:ind w:left="720"/>
      </w:pPr>
      <w:r/>
      <w:r/>
    </w:p>
    <w:p>
      <w:r/>
      <w:r>
        <w:rPr>
          <w:b/>
        </w:rPr>
        <w:t>实践与探索</w:t>
      </w:r>
      <w:r>
        <w:t>：强调改革实践与应用场景的探索，并以具体课程或能力作为核心研究点，例如“数学建模思想融入《常微分方程》课程的教学改革研究与实践”。</w:t>
      </w:r>
      <w:r/>
      <w:r/>
    </w:p>
    <w:p>
      <w:pPr>
        <w:pStyle w:val="ListNumber"/>
        <w:spacing w:line="240" w:lineRule="auto"/>
        <w:ind w:left="720"/>
      </w:pPr>
      <w:r/>
      <w:r/>
    </w:p>
    <w:p>
      <w:r/>
      <w:r>
        <w:rPr>
          <w:b/>
        </w:rPr>
        <w:t>现代化与数字化</w:t>
      </w:r>
      <w:r>
        <w:t>：密切关注信息技术革命与教育数字化趋势，例如“数字化环境支持的商务英语多模态写作探索与实践”。</w:t>
      </w:r>
      <w:r/>
      <w:r/>
    </w:p>
    <w:p>
      <w:pPr>
        <w:pStyle w:val="ListNumber"/>
        <w:spacing w:line="240" w:lineRule="auto"/>
        <w:ind w:left="720"/>
      </w:pPr>
      <w:r/>
      <w:r/>
    </w:p>
    <w:p>
      <w:r/>
      <w:r>
        <w:rPr>
          <w:b/>
        </w:rPr>
        <w:t>学生为主导</w:t>
      </w:r>
      <w:r>
        <w:t>：部分课题侧重学生的主动参与和能力培养，例如“《学生作为伙伴参与课程思政案例库建设的探索--以&lt;葡萄酒知识与入门&gt;课程为例》”。</w:t>
      </w:r>
      <w:r/>
      <w:r/>
      <w:r/>
    </w:p>
    <w:p>
      <w:r/>
      <w:r>
        <w:t>总结来看，这些课题命名突出了学科特色、教学方法、改革实践与明确的研究目标，语言严谨且清晰，兼具学术性和实际操作性，同时紧贴教学改革趋势与教育发展方向。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