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pPr>
        <w:pStyle w:val="ListNumber"/>
        <w:spacing w:line="240" w:lineRule="auto"/>
        <w:ind w:left="720"/>
      </w:pPr>
      <w:r/>
      <w:r/>
    </w:p>
    <w:p>
      <w:r/>
      <w:r>
        <w:rPr>
          <w:b/>
        </w:rPr>
        <w:t>新科技时代下“知教融合+竞赛驱动”的科创型本科生拔尖人才培养模式探索与实践</w:t>
        <w:br/>
      </w:r>
      <w:r>
        <w:t>（着力体现新技术赋能与科教融合背景，关注通过竞赛和科研实践培养科创型人才）</w:t>
      </w:r>
      <w:r/>
      <w:r/>
    </w:p>
    <w:p>
      <w:pPr>
        <w:pStyle w:val="ListNumber"/>
        <w:spacing w:line="240" w:lineRule="auto"/>
        <w:ind w:left="720"/>
      </w:pPr>
      <w:r/>
      <w:r/>
    </w:p>
    <w:p>
      <w:r/>
      <w:r>
        <w:rPr>
          <w:b/>
        </w:rPr>
        <w:t>基于跨学科协作与创新能力提升的本科生“梯次进阶式”研究型人才培养体系构建与实践</w:t>
        <w:br/>
      </w:r>
      <w:r>
        <w:t>（突出跨学科合作、创新能力提升与培养层次性的递进式教育改革模式）</w:t>
      </w:r>
      <w:r/>
      <w:r/>
    </w:p>
    <w:p>
      <w:pPr>
        <w:pStyle w:val="ListNumber"/>
        <w:spacing w:line="240" w:lineRule="auto"/>
        <w:ind w:left="720"/>
      </w:pPr>
      <w:r/>
      <w:r/>
    </w:p>
    <w:p>
      <w:r/>
      <w:r>
        <w:rPr>
          <w:b/>
        </w:rPr>
        <w:t>“科研驱动+竞赛赋能”视域下高水平本科生科研能力与论文写作协同培养机制研究</w:t>
        <w:br/>
      </w:r>
      <w:r>
        <w:t xml:space="preserve">（重点反映科研实践与科创比赛在本科生综合能力培养方面的协同作用，强调论文写作及素质提升） </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