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32"/>
        </w:rPr>
        <w:t>LAPORAN PROJECT</w:t>
      </w:r>
    </w:p>
    <w:p>
      <w:pPr>
        <w:spacing w:line="360" w:lineRule="auto" w:after="360"/>
        <w:jc w:val="center"/>
      </w:pPr>
      <w:r>
        <w:rPr>
          <w:rFonts w:ascii="Times New Roman" w:hAnsi="Times New Roman"/>
          <w:b/>
          <w:sz w:val="32"/>
        </w:rPr>
        <w:t>AUDIT SISTEM INFORMASI</w:t>
      </w:r>
    </w:p>
    <w:p>
      <w:pPr>
        <w:spacing w:after="360" w:before="0" w:line="240" w:lineRule="auto"/>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_unm.png"/>
                    <pic:cNvPicPr/>
                  </pic:nvPicPr>
                  <pic:blipFill>
                    <a:blip r:embed="rId13"/>
                    <a:stretch>
                      <a:fillRect/>
                    </a:stretch>
                  </pic:blipFill>
                  <pic:spPr>
                    <a:xfrm>
                      <a:off x="0" y="0"/>
                      <a:ext cx="1800000" cy="1800000"/>
                    </a:xfrm>
                    <a:prstGeom prst="rect"/>
                  </pic:spPr>
                </pic:pic>
              </a:graphicData>
            </a:graphic>
          </wp:inline>
        </w:drawing>
      </w:r>
    </w:p>
    <w:p>
      <w:pPr>
        <w:spacing w:line="360" w:lineRule="auto" w:after="0"/>
        <w:jc w:val="center"/>
      </w:pPr>
      <w:r>
        <w:rPr>
          <w:rFonts w:ascii="Times New Roman" w:hAnsi="Times New Roman"/>
          <w:b/>
          <w:sz w:val="28"/>
        </w:rPr>
        <w:t>EVALUASI TATA KELOLA TEKNOLOGI INFORMASI</w:t>
      </w:r>
    </w:p>
    <w:p>
      <w:pPr>
        <w:spacing w:line="360" w:lineRule="auto" w:after="0"/>
        <w:jc w:val="center"/>
      </w:pPr>
      <w:r>
        <w:rPr>
          <w:rFonts w:ascii="Times New Roman" w:hAnsi="Times New Roman"/>
          <w:b/>
          <w:sz w:val="28"/>
        </w:rPr>
        <w:t>MENGGUNAKAN FRAMEWORK COBIT 2019</w:t>
      </w:r>
    </w:p>
    <w:p>
      <w:pPr>
        <w:spacing w:line="360" w:lineRule="auto" w:after="360"/>
        <w:jc w:val="center"/>
      </w:pPr>
      <w:r>
        <w:rPr>
          <w:rFonts w:ascii="Times New Roman" w:hAnsi="Times New Roman"/>
          <w:b/>
          <w:sz w:val="28"/>
        </w:rPr>
        <w:t>PADA PT. MURNI SOLUSINDO NUSANTARA</w:t>
      </w:r>
    </w:p>
    <w:p>
      <w:pPr>
        <w:spacing w:line="360" w:lineRule="auto" w:after="0"/>
        <w:jc w:val="center"/>
      </w:pPr>
      <w:r>
        <w:rPr>
          <w:rFonts w:ascii="Times New Roman" w:hAnsi="Times New Roman"/>
          <w:b w:val="0"/>
          <w:sz w:val="24"/>
        </w:rPr>
        <w:t>Disusun untuk Memenuhi Tugas Mata Kuliah</w:t>
      </w:r>
    </w:p>
    <w:p>
      <w:pPr>
        <w:spacing w:line="360" w:lineRule="auto" w:after="360"/>
        <w:jc w:val="center"/>
      </w:pPr>
      <w:r>
        <w:rPr>
          <w:rFonts w:ascii="Times New Roman" w:hAnsi="Times New Roman"/>
          <w:b/>
          <w:sz w:val="24"/>
        </w:rPr>
        <w:t>Audit Sistem Informasi (453)</w:t>
      </w:r>
    </w:p>
    <w:p>
      <w:pPr>
        <w:spacing w:line="360" w:lineRule="auto" w:after="160"/>
        <w:jc w:val="center"/>
      </w:pPr>
      <w:r>
        <w:rPr>
          <w:rFonts w:ascii="Times New Roman" w:hAnsi="Times New Roman"/>
          <w:b/>
          <w:sz w:val="24"/>
        </w:rPr>
        <w:t>Disusun Oleh:</w:t>
      </w:r>
    </w:p>
    <w:p>
      <w:pPr>
        <w:spacing w:line="360" w:lineRule="auto" w:after="0"/>
        <w:jc w:val="center"/>
      </w:pPr>
      <w:r>
        <w:rPr>
          <w:rFonts w:ascii="Times New Roman" w:hAnsi="Times New Roman"/>
          <w:b w:val="0"/>
          <w:sz w:val="24"/>
        </w:rPr>
        <w:t>Roki Anjas (11250066)</w:t>
      </w:r>
    </w:p>
    <w:p>
      <w:pPr>
        <w:spacing w:line="360" w:lineRule="auto" w:after="360"/>
        <w:jc w:val="center"/>
      </w:pPr>
      <w:r>
        <w:rPr>
          <w:rFonts w:ascii="Times New Roman" w:hAnsi="Times New Roman"/>
          <w:b w:val="0"/>
          <w:sz w:val="24"/>
        </w:rPr>
        <w:t>Susanto (11250068)</w:t>
      </w:r>
    </w:p>
    <w:p>
      <w:pPr>
        <w:spacing w:line="360" w:lineRule="auto" w:after="0"/>
        <w:jc w:val="center"/>
      </w:pPr>
      <w:r>
        <w:rPr>
          <w:rFonts w:ascii="Times New Roman" w:hAnsi="Times New Roman"/>
          <w:b/>
          <w:sz w:val="24"/>
        </w:rPr>
        <w:t>Dosen Pengampu:</w:t>
      </w:r>
    </w:p>
    <w:p>
      <w:pPr>
        <w:spacing w:line="360" w:lineRule="auto" w:after="360"/>
        <w:jc w:val="center"/>
      </w:pPr>
      <w:r>
        <w:rPr>
          <w:rFonts w:ascii="Times New Roman" w:hAnsi="Times New Roman"/>
          <w:b/>
          <w:sz w:val="24"/>
        </w:rPr>
        <w:t>Juarni Siregar, S.Pd., M.Kom</w:t>
      </w:r>
    </w:p>
    <w:p>
      <w:pPr>
        <w:spacing w:line="360" w:lineRule="auto" w:after="0"/>
        <w:jc w:val="center"/>
      </w:pPr>
      <w:r>
        <w:rPr>
          <w:rFonts w:ascii="Times New Roman" w:hAnsi="Times New Roman"/>
          <w:b/>
          <w:sz w:val="24"/>
        </w:rPr>
        <w:t>PROGRAM STUDI SISTEM INFORMASI (S1)</w:t>
      </w:r>
    </w:p>
    <w:p>
      <w:pPr>
        <w:spacing w:line="360" w:lineRule="auto" w:after="0"/>
        <w:jc w:val="center"/>
      </w:pPr>
      <w:r>
        <w:rPr>
          <w:rFonts w:ascii="Times New Roman" w:hAnsi="Times New Roman"/>
          <w:b/>
          <w:sz w:val="24"/>
        </w:rPr>
        <w:t>FAKULTAS TEKNOLOGI INFORMASI</w:t>
      </w:r>
    </w:p>
    <w:p>
      <w:pPr>
        <w:spacing w:line="360" w:lineRule="auto" w:after="0"/>
        <w:jc w:val="center"/>
      </w:pPr>
      <w:r>
        <w:rPr>
          <w:rFonts w:ascii="Times New Roman" w:hAnsi="Times New Roman"/>
          <w:b/>
          <w:sz w:val="24"/>
        </w:rPr>
        <w:t>UNIVERSITAS NUSA MANDIRI</w:t>
      </w:r>
    </w:p>
    <w:p>
      <w:pPr>
        <w:spacing w:line="360" w:lineRule="auto" w:after="0"/>
        <w:jc w:val="center"/>
      </w:pPr>
      <w:r>
        <w:rPr>
          <w:rFonts w:ascii="Times New Roman" w:hAnsi="Times New Roman"/>
          <w:b/>
          <w:sz w:val="24"/>
        </w:rPr>
        <w:t>JAKARTA</w:t>
      </w:r>
    </w:p>
    <w:p>
      <w:pPr>
        <w:spacing w:line="360" w:lineRule="auto" w:after="120"/>
        <w:jc w:val="center"/>
      </w:pPr>
      <w:r>
        <w:rPr>
          <w:rFonts w:ascii="Times New Roman" w:hAnsi="Times New Roman"/>
          <w:b/>
          <w:sz w:val="24"/>
        </w:rPr>
        <w:t>2026</w:t>
      </w:r>
    </w:p>
    <w:p>
      <w:pPr>
        <w:sectPr>
          <w:headerReference w:type="default" r:id="rId9"/>
          <w:footerReference w:type="default" r:id="rId10"/>
          <w:headerReference w:type="first" r:id="rId11"/>
          <w:footerReference w:type="first" r:id="rId12"/>
          <w:pgSz w:w="11906" w:h="16838"/>
          <w:pgMar w:top="1701" w:right="1417" w:bottom="1417" w:left="2268" w:header="709" w:footer="170" w:gutter="0"/>
          <w:cols w:space="720"/>
          <w:docGrid w:linePitch="360"/>
        </w:sectPr>
      </w:pPr>
    </w:p>
    <w:p>
      <w:pPr>
        <w:spacing w:line="360" w:lineRule="auto" w:after="480"/>
        <w:jc w:val="center"/>
      </w:pPr>
      <w:r>
        <w:rPr>
          <w:rFonts w:ascii="Times New Roman" w:hAnsi="Times New Roman"/>
          <w:b/>
          <w:sz w:val="28"/>
        </w:rPr>
        <w:t>KATA PENGANTAR</w:t>
      </w:r>
    </w:p>
    <w:p>
      <w:pPr>
        <w:spacing w:line="360" w:lineRule="auto" w:after="120"/>
        <w:ind w:firstLine="709"/>
        <w:jc w:val="both"/>
      </w:pPr>
      <w:r>
        <w:rPr>
          <w:rFonts w:ascii="Times New Roman" w:hAnsi="Times New Roman"/>
          <w:b w:val="0"/>
          <w:i w:val="0"/>
          <w:sz w:val="24"/>
        </w:rPr>
        <w:t>Puji syukur kami panjatkan kehadirat Tuhan Yang Maha Esa, karena atas berkat dan rahmat-Nya kami dapat menyelesaikan laporan project audit sistem informasi ini dengan baik. Laporan ini disusun untuk memenuhi tugas mata kuliah Audit Sistem Informasi (453) pada Program Studi Sistem Informasi (S1), Fakultas Teknologi Informasi, Universitas Nusa Mandiri.</w:t>
      </w:r>
    </w:p>
    <w:p>
      <w:pPr>
        <w:spacing w:line="360" w:lineRule="auto" w:after="120"/>
        <w:ind w:firstLine="709"/>
        <w:jc w:val="both"/>
      </w:pPr>
      <w:r>
        <w:rPr>
          <w:rFonts w:ascii="Times New Roman" w:hAnsi="Times New Roman"/>
          <w:b w:val="0"/>
          <w:i w:val="0"/>
          <w:sz w:val="24"/>
        </w:rPr>
        <w:t>Laporan ini membahas tentang evaluasi tata kelola teknologi informasi pada PT. Murni Solusindo Nusantara menggunakan framework COBIT 2019. Melalui audit ini, kami melakukan penilaian terhadap tingkat kapabilitas (capability level) tata kelola TI pada lima domain yang relevan dengan kondisi perusahaan, yaitu APO12 (Managed Risk), APO13 (Managed Security), BAI06 (Managed IT Changes), DSS01 (Managed Operations), dan DSS05 (Managed Security Services).</w:t>
      </w:r>
    </w:p>
    <w:p>
      <w:pPr>
        <w:spacing w:line="360" w:lineRule="auto" w:after="120"/>
        <w:ind w:firstLine="709"/>
        <w:jc w:val="both"/>
      </w:pPr>
      <w:r>
        <w:rPr>
          <w:rFonts w:ascii="Times New Roman" w:hAnsi="Times New Roman"/>
          <w:b w:val="0"/>
          <w:i w:val="0"/>
          <w:sz w:val="24"/>
        </w:rPr>
        <w:t>Kami menyadari bahwa laporan ini masih jauh dari sempurna. Oleh karena itu, kami mengharapkan kritik dan saran yang membangun dari Ibu dosen pengampu dan rekan-rekan mahasiswa guna penyempurnaan laporan ini di kemudian hari.</w:t>
      </w:r>
    </w:p>
    <w:p>
      <w:pPr>
        <w:spacing w:line="360" w:lineRule="auto" w:after="120"/>
        <w:ind w:firstLine="709"/>
        <w:jc w:val="both"/>
      </w:pPr>
      <w:r>
        <w:rPr>
          <w:rFonts w:ascii="Times New Roman" w:hAnsi="Times New Roman"/>
          <w:b w:val="0"/>
          <w:i w:val="0"/>
          <w:sz w:val="24"/>
        </w:rPr>
        <w:t>Kami mengucapkan terima kasih kepada Ibu Juarni Siregar, S.Pd., M.Kom selaku dosen pengampu, PT. Murni Solusindo Nusantara yang telah memberikan kesempatan untuk melakukan audit, seluruh responden yang telah berpartisipasi, dan semua pihak yang telah membantu dalam penyelesaian laporan ini.</w:t>
      </w:r>
    </w:p>
    <w:p>
      <w:pPr>
        <w:spacing w:line="360" w:lineRule="auto" w:after="120"/>
        <w:ind w:firstLine="709"/>
        <w:jc w:val="both"/>
      </w:pPr>
      <w:r>
        <w:rPr>
          <w:rFonts w:ascii="Times New Roman" w:hAnsi="Times New Roman"/>
          <w:b w:val="0"/>
          <w:i w:val="0"/>
          <w:sz w:val="24"/>
        </w:rPr>
        <w:t>Semoga laporan ini dapat memberikan manfaat dan kontribusi dalam pengembangan tata kelola teknologi informasi di PT. Murni Solusindo Nusantara.</w:t>
      </w:r>
    </w:p>
    <w:p/>
    <w:p>
      <w:pPr>
        <w:spacing w:before="480"/>
        <w:jc w:val="right"/>
      </w:pPr>
      <w:r>
        <w:rPr>
          <w:rFonts w:ascii="Times New Roman" w:hAnsi="Times New Roman"/>
          <w:sz w:val="24"/>
        </w:rPr>
        <w:t>Jakarta, Mei 2026</w:t>
      </w:r>
    </w:p>
    <w:p>
      <w:pPr>
        <w:jc w:val="right"/>
      </w:pPr>
      <w:r>
        <w:rPr>
          <w:rFonts w:ascii="Times New Roman" w:hAnsi="Times New Roman"/>
          <w:b/>
          <w:sz w:val="24"/>
        </w:rPr>
        <w:t>Tim Penulis</w:t>
      </w:r>
    </w:p>
    <w:p>
      <w:r>
        <w:br w:type="page"/>
      </w:r>
    </w:p>
    <w:p>
      <w:pPr>
        <w:spacing w:line="360" w:lineRule="auto" w:after="480"/>
        <w:jc w:val="center"/>
      </w:pPr>
      <w:r>
        <w:rPr>
          <w:rFonts w:ascii="Times New Roman" w:hAnsi="Times New Roman"/>
          <w:b/>
          <w:sz w:val="28"/>
        </w:rPr>
        <w:t>DAFTAR ISI</w:t>
      </w:r>
    </w:p>
    <w:p>
      <w:pPr>
        <w:tabs>
          <w:tab w:pos="7937" w:val="right" w:leader="dot"/>
        </w:tabs>
        <w:spacing w:line="360" w:lineRule="auto" w:after="40" w:before="0"/>
      </w:pPr>
      <w:r>
        <w:rPr>
          <w:rFonts w:ascii="Times New Roman" w:hAnsi="Times New Roman"/>
          <w:b/>
          <w:sz w:val="24"/>
        </w:rPr>
        <w:t>HALAMAN JUDUL</w:t>
      </w:r>
      <w:r>
        <w:rPr>
          <w:rFonts w:ascii="Times New Roman" w:hAnsi="Times New Roman"/>
          <w:sz w:val="24"/>
        </w:rPr>
        <w:tab/>
        <w:t>i</w:t>
      </w:r>
    </w:p>
    <w:p>
      <w:pPr>
        <w:tabs>
          <w:tab w:pos="7937" w:val="right" w:leader="dot"/>
        </w:tabs>
        <w:spacing w:line="360" w:lineRule="auto" w:after="40" w:before="0"/>
      </w:pPr>
      <w:r>
        <w:rPr>
          <w:rFonts w:ascii="Times New Roman" w:hAnsi="Times New Roman"/>
          <w:b/>
          <w:sz w:val="24"/>
        </w:rPr>
        <w:t>KATA PENGANTAR</w:t>
      </w:r>
      <w:r>
        <w:rPr>
          <w:rFonts w:ascii="Times New Roman" w:hAnsi="Times New Roman"/>
          <w:sz w:val="24"/>
        </w:rPr>
        <w:tab/>
        <w:t>ii</w:t>
      </w:r>
    </w:p>
    <w:p>
      <w:pPr>
        <w:tabs>
          <w:tab w:pos="7937" w:val="right" w:leader="dot"/>
        </w:tabs>
        <w:spacing w:line="360" w:lineRule="auto" w:after="40" w:before="0"/>
      </w:pPr>
      <w:r>
        <w:rPr>
          <w:rFonts w:ascii="Times New Roman" w:hAnsi="Times New Roman"/>
          <w:b/>
          <w:sz w:val="24"/>
        </w:rPr>
        <w:t>DAFTAR ISI</w:t>
      </w:r>
      <w:r>
        <w:rPr>
          <w:rFonts w:ascii="Times New Roman" w:hAnsi="Times New Roman"/>
          <w:sz w:val="24"/>
        </w:rPr>
        <w:tab/>
        <w:t>iii</w:t>
      </w:r>
    </w:p>
    <w:p>
      <w:pPr>
        <w:tabs>
          <w:tab w:pos="7937" w:val="right" w:leader="dot"/>
        </w:tabs>
        <w:spacing w:line="360" w:lineRule="auto" w:after="40" w:before="0"/>
      </w:pPr>
      <w:r>
        <w:rPr>
          <w:rFonts w:ascii="Times New Roman" w:hAnsi="Times New Roman"/>
          <w:b/>
          <w:sz w:val="24"/>
        </w:rPr>
        <w:t>DAFTAR TABEL</w:t>
      </w:r>
      <w:r>
        <w:rPr>
          <w:rFonts w:ascii="Times New Roman" w:hAnsi="Times New Roman"/>
          <w:sz w:val="24"/>
        </w:rPr>
        <w:tab/>
        <w:t>iv</w:t>
      </w:r>
    </w:p>
    <w:p>
      <w:pPr>
        <w:tabs>
          <w:tab w:pos="7937" w:val="right" w:leader="dot"/>
        </w:tabs>
        <w:spacing w:line="360" w:lineRule="auto" w:after="40" w:before="0"/>
      </w:pPr>
      <w:r>
        <w:rPr>
          <w:rFonts w:ascii="Times New Roman" w:hAnsi="Times New Roman"/>
          <w:b/>
          <w:sz w:val="24"/>
        </w:rPr>
        <w:t>DAFTAR GAMBAR</w:t>
      </w:r>
      <w:r>
        <w:rPr>
          <w:rFonts w:ascii="Times New Roman" w:hAnsi="Times New Roman"/>
          <w:sz w:val="24"/>
        </w:rPr>
        <w:tab/>
        <w:t>v</w:t>
      </w:r>
    </w:p>
    <w:p/>
    <w:p>
      <w:pPr>
        <w:tabs>
          <w:tab w:pos="7937" w:val="right" w:leader="dot"/>
        </w:tabs>
        <w:spacing w:line="360" w:lineRule="auto" w:after="40" w:before="0"/>
      </w:pPr>
      <w:r>
        <w:rPr>
          <w:rFonts w:ascii="Times New Roman" w:hAnsi="Times New Roman"/>
          <w:b/>
          <w:sz w:val="24"/>
        </w:rPr>
        <w:t>BAB I PENDAHULUAN</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A. Latar Belakang</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B. Permasalahan</w:t>
      </w:r>
      <w:r>
        <w:rPr>
          <w:rFonts w:ascii="Times New Roman" w:hAnsi="Times New Roman"/>
          <w:sz w:val="24"/>
        </w:rPr>
        <w:tab/>
        <w:t>2</w:t>
      </w:r>
    </w:p>
    <w:p>
      <w:pPr>
        <w:tabs>
          <w:tab w:pos="7937" w:val="right" w:leader="dot"/>
        </w:tabs>
        <w:spacing w:line="360" w:lineRule="auto" w:after="40" w:before="0"/>
        <w:ind w:left="709"/>
      </w:pPr>
      <w:r>
        <w:rPr>
          <w:rFonts w:ascii="Times New Roman" w:hAnsi="Times New Roman"/>
          <w:b w:val="0"/>
          <w:sz w:val="24"/>
        </w:rPr>
        <w:t>C. Tujuan</w:t>
      </w:r>
      <w:r>
        <w:rPr>
          <w:rFonts w:ascii="Times New Roman" w:hAnsi="Times New Roman"/>
          <w:sz w:val="24"/>
        </w:rPr>
        <w:tab/>
        <w:t>3</w:t>
      </w:r>
    </w:p>
    <w:p/>
    <w:p>
      <w:pPr>
        <w:tabs>
          <w:tab w:pos="7937" w:val="right" w:leader="dot"/>
        </w:tabs>
        <w:spacing w:line="360" w:lineRule="auto" w:after="40" w:before="0"/>
      </w:pPr>
      <w:r>
        <w:rPr>
          <w:rFonts w:ascii="Times New Roman" w:hAnsi="Times New Roman"/>
          <w:b/>
          <w:sz w:val="24"/>
        </w:rPr>
        <w:t>BAB II PEMBAHASAN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A. Framework yang Digunakan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B. Domain dan Sub-Domain yang Digunakan</w:t>
      </w:r>
      <w:r>
        <w:rPr>
          <w:rFonts w:ascii="Times New Roman" w:hAnsi="Times New Roman"/>
          <w:sz w:val="24"/>
        </w:rPr>
        <w:tab/>
        <w:t>6</w:t>
      </w:r>
    </w:p>
    <w:p>
      <w:pPr>
        <w:tabs>
          <w:tab w:pos="7937" w:val="right" w:leader="dot"/>
        </w:tabs>
        <w:spacing w:line="360" w:lineRule="auto" w:after="40" w:before="0"/>
        <w:ind w:left="709"/>
      </w:pPr>
      <w:r>
        <w:rPr>
          <w:rFonts w:ascii="Times New Roman" w:hAnsi="Times New Roman"/>
          <w:b w:val="0"/>
          <w:sz w:val="24"/>
        </w:rPr>
        <w:t>C. Capability Level dan GAP</w:t>
      </w:r>
      <w:r>
        <w:rPr>
          <w:rFonts w:ascii="Times New Roman" w:hAnsi="Times New Roman"/>
          <w:sz w:val="24"/>
        </w:rPr>
        <w:tab/>
        <w:t>10</w:t>
      </w:r>
    </w:p>
    <w:p/>
    <w:p>
      <w:pPr>
        <w:tabs>
          <w:tab w:pos="7937" w:val="right" w:leader="dot"/>
        </w:tabs>
        <w:spacing w:line="360" w:lineRule="auto" w:after="40" w:before="0"/>
      </w:pPr>
      <w:r>
        <w:rPr>
          <w:rFonts w:ascii="Times New Roman" w:hAnsi="Times New Roman"/>
          <w:b/>
          <w:sz w:val="24"/>
        </w:rPr>
        <w:t>BAB III PENUTUP</w:t>
      </w:r>
      <w:r>
        <w:rPr>
          <w:rFonts w:ascii="Times New Roman" w:hAnsi="Times New Roman"/>
          <w:sz w:val="24"/>
        </w:rPr>
        <w:tab/>
        <w:t>19</w:t>
      </w:r>
    </w:p>
    <w:p>
      <w:pPr>
        <w:tabs>
          <w:tab w:pos="7937" w:val="right" w:leader="dot"/>
        </w:tabs>
        <w:spacing w:line="360" w:lineRule="auto" w:after="40" w:before="0"/>
        <w:ind w:left="709"/>
      </w:pPr>
      <w:r>
        <w:rPr>
          <w:rFonts w:ascii="Times New Roman" w:hAnsi="Times New Roman"/>
          <w:b w:val="0"/>
          <w:sz w:val="24"/>
        </w:rPr>
        <w:t>A. Kesimpulan</w:t>
      </w:r>
      <w:r>
        <w:rPr>
          <w:rFonts w:ascii="Times New Roman" w:hAnsi="Times New Roman"/>
          <w:sz w:val="24"/>
        </w:rPr>
        <w:tab/>
        <w:t>19</w:t>
      </w:r>
    </w:p>
    <w:p>
      <w:pPr>
        <w:tabs>
          <w:tab w:pos="7937" w:val="right" w:leader="dot"/>
        </w:tabs>
        <w:spacing w:line="360" w:lineRule="auto" w:after="40" w:before="0"/>
        <w:ind w:left="709"/>
      </w:pPr>
      <w:r>
        <w:rPr>
          <w:rFonts w:ascii="Times New Roman" w:hAnsi="Times New Roman"/>
          <w:b w:val="0"/>
          <w:sz w:val="24"/>
        </w:rPr>
        <w:t>B. Saran</w:t>
      </w:r>
      <w:r>
        <w:rPr>
          <w:rFonts w:ascii="Times New Roman" w:hAnsi="Times New Roman"/>
          <w:sz w:val="24"/>
        </w:rPr>
        <w:tab/>
        <w:t>20</w:t>
      </w:r>
    </w:p>
    <w:p/>
    <w:p>
      <w:pPr>
        <w:tabs>
          <w:tab w:pos="7937" w:val="right" w:leader="dot"/>
        </w:tabs>
        <w:spacing w:line="360" w:lineRule="auto" w:after="40" w:before="0"/>
      </w:pPr>
      <w:r>
        <w:rPr>
          <w:rFonts w:ascii="Times New Roman" w:hAnsi="Times New Roman"/>
          <w:b/>
          <w:sz w:val="24"/>
        </w:rPr>
        <w:t>DAFTAR PUSTAKA</w:t>
      </w:r>
      <w:r>
        <w:rPr>
          <w:rFonts w:ascii="Times New Roman" w:hAnsi="Times New Roman"/>
          <w:sz w:val="24"/>
        </w:rPr>
        <w:tab/>
        <w:t>22</w:t>
      </w:r>
    </w:p>
    <w:p>
      <w:pPr>
        <w:tabs>
          <w:tab w:pos="7937" w:val="right" w:leader="dot"/>
        </w:tabs>
        <w:spacing w:line="360" w:lineRule="auto" w:after="40" w:before="0"/>
      </w:pPr>
      <w:r>
        <w:rPr>
          <w:rFonts w:ascii="Times New Roman" w:hAnsi="Times New Roman"/>
          <w:b/>
          <w:sz w:val="24"/>
        </w:rPr>
        <w:t>LAMPIRAN</w:t>
      </w:r>
      <w:r>
        <w:rPr>
          <w:rFonts w:ascii="Times New Roman" w:hAnsi="Times New Roman"/>
          <w:sz w:val="24"/>
        </w:rPr>
        <w:tab/>
        <w:t>24</w:t>
      </w:r>
    </w:p>
    <w:p>
      <w:pPr>
        <w:tabs>
          <w:tab w:pos="7937" w:val="right" w:leader="dot"/>
        </w:tabs>
        <w:spacing w:line="360" w:lineRule="auto" w:after="40" w:before="0"/>
        <w:ind w:left="709"/>
      </w:pPr>
      <w:r>
        <w:rPr>
          <w:rFonts w:ascii="Times New Roman" w:hAnsi="Times New Roman"/>
          <w:b w:val="0"/>
          <w:sz w:val="24"/>
        </w:rPr>
        <w:t>Lampiran 1: Kuesioner Penelitian</w:t>
      </w:r>
      <w:r>
        <w:rPr>
          <w:rFonts w:ascii="Times New Roman" w:hAnsi="Times New Roman"/>
          <w:sz w:val="24"/>
        </w:rPr>
        <w:tab/>
        <w:t>24</w:t>
      </w:r>
    </w:p>
    <w:p>
      <w:pPr>
        <w:tabs>
          <w:tab w:pos="7937" w:val="right" w:leader="dot"/>
        </w:tabs>
        <w:spacing w:line="360" w:lineRule="auto" w:after="40" w:before="0"/>
        <w:ind w:left="709"/>
      </w:pPr>
      <w:r>
        <w:rPr>
          <w:rFonts w:ascii="Times New Roman" w:hAnsi="Times New Roman"/>
          <w:b w:val="0"/>
          <w:sz w:val="24"/>
        </w:rPr>
        <w:t>Lampiran 2: Tabulasi Data Responden</w:t>
      </w:r>
      <w:r>
        <w:rPr>
          <w:rFonts w:ascii="Times New Roman" w:hAnsi="Times New Roman"/>
          <w:sz w:val="24"/>
        </w:rPr>
        <w:tab/>
        <w:t>35</w:t>
      </w:r>
    </w:p>
    <w:p>
      <w:pPr>
        <w:tabs>
          <w:tab w:pos="7937" w:val="right" w:leader="dot"/>
        </w:tabs>
        <w:spacing w:line="360" w:lineRule="auto" w:after="40" w:before="0"/>
        <w:ind w:left="709"/>
      </w:pPr>
      <w:r>
        <w:rPr>
          <w:rFonts w:ascii="Times New Roman" w:hAnsi="Times New Roman"/>
          <w:b w:val="0"/>
          <w:sz w:val="24"/>
        </w:rPr>
        <w:t>Lampiran 3: Perhitungan Capability Level</w:t>
      </w:r>
      <w:r>
        <w:rPr>
          <w:rFonts w:ascii="Times New Roman" w:hAnsi="Times New Roman"/>
          <w:sz w:val="24"/>
        </w:rPr>
        <w:tab/>
        <w:t>45</w:t>
      </w:r>
    </w:p>
    <w:p>
      <w:r>
        <w:br w:type="page"/>
      </w:r>
    </w:p>
    <w:p>
      <w:pPr>
        <w:spacing w:line="360" w:lineRule="auto" w:after="480"/>
        <w:jc w:val="center"/>
      </w:pPr>
      <w:r>
        <w:rPr>
          <w:rFonts w:ascii="Times New Roman" w:hAnsi="Times New Roman"/>
          <w:b/>
          <w:sz w:val="28"/>
        </w:rPr>
        <w:t>DAFTAR TABEL</w:t>
      </w:r>
    </w:p>
    <w:p>
      <w:pPr>
        <w:tabs>
          <w:tab w:pos="7937" w:val="right" w:leader="dot"/>
        </w:tabs>
        <w:spacing w:line="360" w:lineRule="auto" w:after="40" w:before="0"/>
      </w:pPr>
      <w:r>
        <w:rPr>
          <w:rFonts w:ascii="Times New Roman" w:hAnsi="Times New Roman"/>
          <w:b w:val="0"/>
          <w:sz w:val="24"/>
        </w:rPr>
        <w:t>Tabel 2.1 — Perbedaan COBIT 5 dan COBIT 2019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2.2 — Capability Level COBIT 2019 (Level 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2.3 — Rating Scale Ketercapaian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2.4 — Domain COBIT 2019 yang Dipilih</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2.5 — RACI Matrix</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2.6 — Hasil Perhitungan Capability Level APO12</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2.7 — Hasil Perhitungan Capability Level APO13</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2.8 — Hasil Perhitungan Capability Level BAI06</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2.9 — Hasil Perhitungan Capability Level DSS01</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2.10 — Hasil Perhitungan Capability Level DSS05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2.11 — Ringkasan Capability Level dan GAP Analysis</w:t>
      </w:r>
      <w:r>
        <w:rPr>
          <w:rFonts w:ascii="Times New Roman" w:hAnsi="Times New Roman"/>
          <w:sz w:val="24"/>
        </w:rPr>
        <w:tab/>
        <w:t>...</w:t>
      </w:r>
    </w:p>
    <w:p>
      <w:r>
        <w:br w:type="page"/>
      </w:r>
    </w:p>
    <w:p>
      <w:pPr>
        <w:spacing w:line="360" w:lineRule="auto" w:after="480"/>
        <w:jc w:val="center"/>
      </w:pPr>
      <w:r>
        <w:rPr>
          <w:rFonts w:ascii="Times New Roman" w:hAnsi="Times New Roman"/>
          <w:b/>
          <w:sz w:val="28"/>
        </w:rPr>
        <w:t>DAFTAR GAMBAR</w:t>
      </w:r>
    </w:p>
    <w:p>
      <w:pPr>
        <w:tabs>
          <w:tab w:pos="7937" w:val="right" w:leader="dot"/>
        </w:tabs>
        <w:spacing w:line="360" w:lineRule="auto" w:after="40" w:before="0"/>
      </w:pPr>
      <w:r>
        <w:rPr>
          <w:rFonts w:ascii="Times New Roman" w:hAnsi="Times New Roman"/>
          <w:b w:val="0"/>
          <w:sz w:val="24"/>
        </w:rPr>
        <w:t>Gambar 1.1 — Struktur Organisasi PT. Murni Solusindo Nusantara</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2.1 — Alur Metodologi Penelitian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2.2 — Radar Chart Capability Level 5 Domain COBIT 2019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2.3 — GAP Analysis — As-is vs To-be per Domain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2.4 — Persentase Ketercapaian per Level per Domain</w:t>
      </w:r>
      <w:r>
        <w:rPr>
          <w:rFonts w:ascii="Times New Roman" w:hAnsi="Times New Roman"/>
          <w:sz w:val="24"/>
        </w:rPr>
        <w:tab/>
        <w:t>...</w:t>
      </w:r>
    </w:p>
    <w:p>
      <w:pPr>
        <w:sectPr>
          <w:footerReference w:type="default" r:id="rId14"/>
          <w:headerReference w:type="default" r:id="rId15"/>
          <w:pgSz w:w="11906" w:h="16838"/>
          <w:pgMar w:top="1701" w:right="1417" w:bottom="1417" w:left="2268" w:header="709" w:footer="170" w:gutter="0"/>
          <w:cols w:space="720"/>
          <w:docGrid w:linePitch="360"/>
          <w:pgNumType w:start="2" w:fmt="lowerRoman"/>
        </w:sectPr>
      </w:pPr>
    </w:p>
    <w:p>
      <w:pPr>
        <w:spacing w:line="360" w:lineRule="auto" w:after="0"/>
        <w:jc w:val="center"/>
      </w:pPr>
      <w:r>
        <w:rPr>
          <w:rFonts w:ascii="Times New Roman" w:hAnsi="Times New Roman"/>
          <w:b/>
          <w:sz w:val="28"/>
        </w:rPr>
        <w:t>BAB I</w:t>
      </w:r>
    </w:p>
    <w:p>
      <w:pPr>
        <w:spacing w:line="360" w:lineRule="auto" w:after="480"/>
        <w:jc w:val="center"/>
      </w:pPr>
      <w:r>
        <w:rPr>
          <w:rFonts w:ascii="Times New Roman" w:hAnsi="Times New Roman"/>
          <w:b/>
          <w:sz w:val="28"/>
        </w:rPr>
        <w:t>PENDAHULUAN</w:t>
      </w:r>
    </w:p>
    <w:p>
      <w:pPr>
        <w:pStyle w:val="Heading2"/>
      </w:pPr>
      <w:r>
        <w:t>A. Latar Belakang</w:t>
      </w:r>
    </w:p>
    <w:p>
      <w:pPr>
        <w:spacing w:line="360" w:lineRule="auto" w:after="120"/>
        <w:ind w:firstLine="709"/>
        <w:jc w:val="both"/>
      </w:pPr>
      <w:r>
        <w:rPr>
          <w:rFonts w:ascii="Times New Roman" w:hAnsi="Times New Roman"/>
          <w:b w:val="0"/>
          <w:i w:val="0"/>
          <w:sz w:val="24"/>
        </w:rPr>
        <w:t>Perkembangan teknologi informasi yang semakin pesat telah mendorong berbagai perusahaan untuk mengadopsi sistem informasi sebagai tulang punggung operasional bisnisnya. Transformasi digital ini tidak hanya terjadi pada perusahaan berskala besar, melainkan juga pada perusahaan menengah yang bergerak di berbagai sektor industri. Penggunaan teknologi informasi yang masif menuntut adanya tata kelola yang baik agar investasi TI dapat memberikan nilai tambah yang optimal bagi organisasi (Erlansari dkk., 2023). Tata kelola teknologi informasi pada dasarnya merupakan bagian integral dari tata kelola perusahaan yang memastikan bahwa pemanfaatan TI mampu mendukung serta memperluas strategi dan tujuan organisasi secara berkelanjutan (Jogiyanto &amp; Abdillah, 2011).</w:t>
      </w:r>
    </w:p>
    <w:p>
      <w:pPr>
        <w:spacing w:line="360" w:lineRule="auto" w:after="120"/>
        <w:ind w:firstLine="709"/>
        <w:jc w:val="both"/>
      </w:pPr>
      <w:r>
        <w:rPr>
          <w:rFonts w:ascii="Times New Roman" w:hAnsi="Times New Roman"/>
          <w:b w:val="0"/>
          <w:i w:val="0"/>
          <w:sz w:val="24"/>
        </w:rPr>
        <w:t>PT. Murni Solusindo Nusantara merupakan perusahaan yang bergerak di bidang distribusi alat hitung uang dan alat deteksi uang palsu. Selain bisnis utama di bidang distribusi, perusahaan ini juga telah mengembangkan beberapa produk digital, yaitu platform Web Builder SaaS yang menyediakan layanan pembuatan website bagi pelanggan, platform Listing Property yang menghubungkan penjual dan pembeli properti, serta platform Indoconnex yang menjadi wadah konektivitas bisnis. Dengan portofolio produk digital yang terus berkembang, PT. Murni Solusindo Nusantara memiliki ketergantungan yang tinggi terhadap infrastruktur teknologi informasi dalam menjalankan operasional bisnisnya sehari-hari.</w:t>
      </w:r>
    </w:p>
    <w:p>
      <w:pPr>
        <w:spacing w:line="360" w:lineRule="auto" w:after="120"/>
        <w:ind w:firstLine="709"/>
        <w:jc w:val="both"/>
      </w:pPr>
      <w:r>
        <w:rPr>
          <w:rFonts w:ascii="Times New Roman" w:hAnsi="Times New Roman"/>
          <w:b w:val="0"/>
          <w:i w:val="0"/>
          <w:sz w:val="24"/>
        </w:rPr>
        <w:t>Perusahaan ini memiliki beberapa departemen utama yang saling terintegrasi, meliputi Human Resources, Finance, IT, dan Digital Marketing. Departemen Digital Marketing membawahi beberapa divisi strategis, yaitu Web Development &amp; SEO, UI/UX, Graphic Design, Video Editor, Copywriter, dan Email Marketing. Divisi IT dan Digital Marketing (khususnya Web Development &amp; SEO) memegang peranan sentral dalam pengembangan, pengelolaan, dan pemeliharaan seluruh platform digital yang dimiliki perusahaan. Namun demikian, seiring dengan bertambahnya kompleksitas sistem dan meningkatnya volume data yang dikelola, terdapat tantangan signifikan dalam hal manajemen risiko teknologi informasi, keamanan data pelanggan, pengelolaan perubahan sistem, serta pemantauan operasional platform secara berkelanjutan. Struktur organisasi PT. Murni Solusindo Nusantara dapat dilihat pada Gambar 1.1.</w:t>
      </w:r>
    </w:p>
    <w:p>
      <w:pPr>
        <w:spacing w:before="240" w:after="80"/>
        <w:jc w:val="center"/>
      </w:pPr>
      <w:r>
        <w:drawing>
          <wp:inline xmlns:a="http://schemas.openxmlformats.org/drawingml/2006/main" xmlns:pic="http://schemas.openxmlformats.org/drawingml/2006/picture">
            <wp:extent cx="5040000" cy="2497769"/>
            <wp:docPr id="2" name="Picture 2"/>
            <wp:cNvGraphicFramePr>
              <a:graphicFrameLocks noChangeAspect="1"/>
            </wp:cNvGraphicFramePr>
            <a:graphic>
              <a:graphicData uri="http://schemas.openxmlformats.org/drawingml/2006/picture">
                <pic:pic>
                  <pic:nvPicPr>
                    <pic:cNvPr id="0" name="gambar_5_struktur_organisasi.png"/>
                    <pic:cNvPicPr/>
                  </pic:nvPicPr>
                  <pic:blipFill>
                    <a:blip r:embed="rId20"/>
                    <a:stretch>
                      <a:fillRect/>
                    </a:stretch>
                  </pic:blipFill>
                  <pic:spPr>
                    <a:xfrm>
                      <a:off x="0" y="0"/>
                      <a:ext cx="5040000" cy="2497769"/>
                    </a:xfrm>
                    <a:prstGeom prst="rect"/>
                  </pic:spPr>
                </pic:pic>
              </a:graphicData>
            </a:graphic>
          </wp:inline>
        </w:drawing>
      </w:r>
    </w:p>
    <w:p>
      <w:pPr>
        <w:spacing w:after="240"/>
        <w:jc w:val="center"/>
      </w:pPr>
      <w:r>
        <w:rPr>
          <w:rFonts w:ascii="Times New Roman" w:hAnsi="Times New Roman"/>
          <w:i/>
          <w:sz w:val="20"/>
        </w:rPr>
        <w:t>Gambar 1.1 — Struktur Organisasi PT. Murni Solusindo Nusantara</w:t>
      </w:r>
    </w:p>
    <w:p>
      <w:pPr>
        <w:spacing w:line="360" w:lineRule="auto" w:after="120"/>
        <w:ind w:firstLine="709"/>
        <w:jc w:val="both"/>
      </w:pPr>
      <w:r>
        <w:rPr>
          <w:rFonts w:ascii="Times New Roman" w:hAnsi="Times New Roman"/>
          <w:b w:val="0"/>
          <w:i w:val="0"/>
          <w:sz w:val="24"/>
        </w:rPr>
        <w:t>Dalam konteks tersebut, audit sistem informasi menjadi kebutuhan yang sangat penting untuk memastikan bahwa tata kelola teknologi informasi di PT. Murni Solusindo Nusantara telah berjalan sesuai dengan standar dan praktik terbaik. Audit sistem informasi merupakan proses pengumpulan dan pengevaluasian bukti-bukti untuk menentukan apakah suatu sistem informasi telah menerapkan pengendalian internal yang memadai, melindungi aset dengan baik, serta menjamin integritas data, keandalan, efektivitas, dan efisiensi sistem berbasis komputer (Weber, 1999 dalam Solechan, 2021). Melalui audit yang dilaksanakan secara terstruktur, organisasi dapat menilai efektivitas pengendalian TI sekaligus mengidentifikasi area-area yang berpotensi menimbulkan risiko bagi keberlangsungan bisnis (Otero, 2018).</w:t>
      </w:r>
    </w:p>
    <w:p>
      <w:pPr>
        <w:spacing w:line="360" w:lineRule="auto" w:after="120"/>
        <w:ind w:firstLine="709"/>
        <w:jc w:val="both"/>
      </w:pPr>
      <w:r>
        <w:rPr>
          <w:rFonts w:ascii="Times New Roman" w:hAnsi="Times New Roman"/>
          <w:b w:val="0"/>
          <w:i w:val="0"/>
          <w:sz w:val="24"/>
        </w:rPr>
        <w:t>Framework COBIT 2019 dipilih sebagai acuan dalam pelaksanaan audit ini karena merupakan kerangka kerja tata kelola TI terkini yang dikembangkan oleh ISACA. COBIT 2019 menawarkan pendekatan yang lebih fleksibel dan adaptif dibandingkan versi sebelumnya, dengan memperkenalkan konsep design factors yang memungkinkan penyesuaian tata kelola sesuai dengan karakteristik dan kebutuhan spesifik organisasi (Syuhada, 2021). Selain itu, COBIT 2019 mengintegrasikan berbagai standar dan kerangka kerja internasional seperti ITIL, TOGAF, dan CMMI, sehingga memberikan pandangan yang lebih komprehensif dalam menilai kematangan tata kelola TI suatu organisasi (Algiffary dkk., 2023).</w:t>
      </w:r>
    </w:p>
    <w:p>
      <w:pPr>
        <w:pStyle w:val="Heading2"/>
      </w:pPr>
      <w:r>
        <w:t>B. Permasalahan</w:t>
      </w:r>
    </w:p>
    <w:p>
      <w:pPr>
        <w:spacing w:line="360" w:lineRule="auto" w:after="120"/>
        <w:ind w:firstLine="709"/>
        <w:jc w:val="both"/>
      </w:pPr>
      <w:r>
        <w:rPr>
          <w:rFonts w:ascii="Times New Roman" w:hAnsi="Times New Roman"/>
          <w:b w:val="0"/>
          <w:i w:val="0"/>
          <w:sz w:val="24"/>
        </w:rPr>
        <w:t>Berdasarkan latar belakang yang telah diuraikan, rumusan masalah dalam project audit sistem informasi ini adalah sebagai berikut:</w:t>
      </w:r>
    </w:p>
    <w:p>
      <w:pPr>
        <w:spacing w:line="360" w:lineRule="auto" w:after="40"/>
        <w:ind w:left="709" w:hanging="283"/>
        <w:jc w:val="both"/>
      </w:pPr>
      <w:r>
        <w:rPr>
          <w:rFonts w:ascii="Times New Roman" w:hAnsi="Times New Roman"/>
          <w:sz w:val="24"/>
        </w:rPr>
        <w:t>1. Bagaimana tingkat kapabilitas (capability level) tata kelola teknologi informasi di PT. Murni Solusindo Nusantara pada domain Managed Risk (APO12), Managed Security (APO13), Managed IT Changes (BAI06), Managed Operations (DSS01), dan Managed Security Services (DSS05) berdasarkan framework COBIT 2019?</w:t>
      </w:r>
    </w:p>
    <w:p>
      <w:pPr>
        <w:spacing w:line="360" w:lineRule="auto" w:after="40"/>
        <w:ind w:left="709" w:hanging="283"/>
        <w:jc w:val="both"/>
      </w:pPr>
      <w:r>
        <w:rPr>
          <w:rFonts w:ascii="Times New Roman" w:hAnsi="Times New Roman"/>
          <w:sz w:val="24"/>
        </w:rPr>
        <w:t>2. Seberapa besar kesenjangan (GAP) antara kondisi tata kelola TI saat ini (as-is) dengan kondisi yang diharapkan (to-be) pada masing-masing domain yang diaudit?</w:t>
      </w:r>
    </w:p>
    <w:p>
      <w:pPr>
        <w:spacing w:line="360" w:lineRule="auto" w:after="40"/>
        <w:ind w:left="709" w:hanging="283"/>
        <w:jc w:val="both"/>
      </w:pPr>
      <w:r>
        <w:rPr>
          <w:rFonts w:ascii="Times New Roman" w:hAnsi="Times New Roman"/>
          <w:sz w:val="24"/>
        </w:rPr>
        <w:t>3. Rekomendasi perbaikan apa yang dapat diberikan untuk meningkatkan tingkat kapabilitas tata kelola teknologi informasi di PT. Murni Solusindo Nusantara?</w:t>
      </w:r>
    </w:p>
    <w:p>
      <w:pPr>
        <w:pStyle w:val="Heading2"/>
      </w:pPr>
      <w:r>
        <w:t>C. Tujuan</w:t>
      </w:r>
    </w:p>
    <w:p>
      <w:pPr>
        <w:spacing w:line="360" w:lineRule="auto" w:after="120"/>
        <w:ind w:firstLine="709"/>
        <w:jc w:val="both"/>
      </w:pPr>
      <w:r>
        <w:rPr>
          <w:rFonts w:ascii="Times New Roman" w:hAnsi="Times New Roman"/>
          <w:b w:val="0"/>
          <w:i w:val="0"/>
          <w:sz w:val="24"/>
        </w:rPr>
        <w:t>Tujuan dari pelaksanaan project audit sistem informasi ini adalah:</w:t>
      </w:r>
    </w:p>
    <w:p>
      <w:pPr>
        <w:spacing w:line="360" w:lineRule="auto" w:after="40"/>
        <w:ind w:left="709" w:hanging="283"/>
        <w:jc w:val="both"/>
      </w:pPr>
      <w:r>
        <w:rPr>
          <w:rFonts w:ascii="Times New Roman" w:hAnsi="Times New Roman"/>
          <w:sz w:val="24"/>
        </w:rPr>
        <w:t>1. Mengukur dan menganalisis tingkat kapabilitas (capability level) tata kelola teknologi informasi di PT. Murni Solusindo Nusantara pada lima domain COBIT 2019 yang telah ditentukan, yaitu APO12 (Managed Risk), APO13 (Managed Security), BAI06 (Managed IT Changes), DSS01 (Managed Operations), dan DSS05 (Managed Security Services).</w:t>
      </w:r>
    </w:p>
    <w:p>
      <w:pPr>
        <w:spacing w:line="360" w:lineRule="auto" w:after="40"/>
        <w:ind w:left="709" w:hanging="283"/>
        <w:jc w:val="both"/>
      </w:pPr>
      <w:r>
        <w:rPr>
          <w:rFonts w:ascii="Times New Roman" w:hAnsi="Times New Roman"/>
          <w:sz w:val="24"/>
        </w:rPr>
        <w:t>2. Mengidentifikasi dan menganalisis kesenjangan (GAP) antara kondisi tata kelola TI saat ini dengan kondisi yang diharapkan pada setiap domain yang diaudit, guna mengetahui area-area yang memerlukan perbaikan.</w:t>
      </w:r>
    </w:p>
    <w:p>
      <w:pPr>
        <w:spacing w:line="360" w:lineRule="auto" w:after="40"/>
        <w:ind w:left="709" w:hanging="283"/>
        <w:jc w:val="both"/>
      </w:pPr>
      <w:r>
        <w:rPr>
          <w:rFonts w:ascii="Times New Roman" w:hAnsi="Times New Roman"/>
          <w:sz w:val="24"/>
        </w:rPr>
        <w:t>3. Menyusun rekomendasi perbaikan yang konkret dan implementatif untuk meningkatkan tingkat kapabilitas tata kelola teknologi informasi di PT. Murni Solusindo Nusantara, sehingga dapat mendukung pencapaian tujuan bisnis perusahaan secara optimal.</w:t>
      </w:r>
    </w:p>
    <w:p>
      <w:pPr>
        <w:sectPr>
          <w:footerReference w:type="first" r:id="rId16"/>
          <w:headerReference w:type="first" r:id="rId17"/>
          <w:headerReference w:type="default" r:id="rId18"/>
          <w:footerReference w:type="default" r:id="rId19"/>
          <w:pgSz w:w="11906" w:h="16838"/>
          <w:pgMar w:top="1701" w:right="1417" w:bottom="1417" w:left="2268" w:header="709" w:footer="170" w:gutter="0"/>
          <w:cols w:space="720"/>
          <w:titlePg/>
          <w:docGrid w:linePitch="360"/>
          <w:pgNumType w:start="2" w:fmt="lowerRoman"/>
          <w:pgNumType w:start="1" w:fmt="decimal"/>
        </w:sectPr>
      </w:pPr>
    </w:p>
    <w:p>
      <w:pPr>
        <w:spacing w:line="360" w:lineRule="auto" w:after="0"/>
        <w:jc w:val="center"/>
      </w:pPr>
      <w:r>
        <w:rPr>
          <w:rFonts w:ascii="Times New Roman" w:hAnsi="Times New Roman"/>
          <w:b/>
          <w:sz w:val="28"/>
        </w:rPr>
        <w:t>BAB II</w:t>
      </w:r>
    </w:p>
    <w:p>
      <w:pPr>
        <w:spacing w:line="360" w:lineRule="auto" w:after="480"/>
        <w:jc w:val="center"/>
      </w:pPr>
      <w:r>
        <w:rPr>
          <w:rFonts w:ascii="Times New Roman" w:hAnsi="Times New Roman"/>
          <w:b/>
          <w:sz w:val="28"/>
        </w:rPr>
        <w:t>PEMBAHASAN</w:t>
      </w:r>
    </w:p>
    <w:p>
      <w:pPr>
        <w:pStyle w:val="Heading2"/>
      </w:pPr>
      <w:r>
        <w:t>A. Framework yang Digunakan</w:t>
      </w:r>
    </w:p>
    <w:p>
      <w:pPr>
        <w:pStyle w:val="Heading3"/>
      </w:pPr>
      <w:r>
        <w:t>COBIT 2019</w:t>
      </w:r>
    </w:p>
    <w:p>
      <w:pPr>
        <w:spacing w:line="360" w:lineRule="auto" w:after="120"/>
        <w:ind w:firstLine="709"/>
        <w:jc w:val="both"/>
      </w:pPr>
      <w:r>
        <w:rPr>
          <w:rFonts w:ascii="Times New Roman" w:hAnsi="Times New Roman"/>
          <w:b w:val="0"/>
          <w:i w:val="0"/>
          <w:sz w:val="24"/>
        </w:rPr>
        <w:t xml:space="preserve">Dalam pelaksanaan audit sistem informasi pada PT. Murni Solusindo Nusantara, framework yang digunakan adalah </w:t>
      </w:r>
      <w:r>
        <w:rPr>
          <w:rFonts w:ascii="Times New Roman" w:hAnsi="Times New Roman"/>
          <w:b/>
          <w:sz w:val="24"/>
        </w:rPr>
        <w:t>COBIT 2019</w:t>
      </w:r>
      <w:r>
        <w:rPr>
          <w:rFonts w:ascii="Times New Roman" w:hAnsi="Times New Roman"/>
          <w:b w:val="0"/>
          <w:i w:val="0"/>
          <w:sz w:val="24"/>
        </w:rPr>
        <w:t xml:space="preserve"> (Control Objectives for Information and Related Technologies). COBIT 2019 merupakan kerangka kerja tata kelola dan manajemen teknologi informasi yang dikembangkan oleh ISACA (Information Systems Audit and Control Association) dan dirilis pada tahun 2018 sebagai pemutakhiran dari COBIT 5 (Syuhada, 2021).</w:t>
      </w:r>
    </w:p>
    <w:p>
      <w:pPr>
        <w:spacing w:line="360" w:lineRule="auto" w:after="120"/>
        <w:ind w:firstLine="709"/>
        <w:jc w:val="both"/>
      </w:pPr>
      <w:r>
        <w:rPr>
          <w:rFonts w:ascii="Times New Roman" w:hAnsi="Times New Roman"/>
          <w:b w:val="0"/>
          <w:i w:val="0"/>
          <w:sz w:val="24"/>
        </w:rPr>
        <w:t xml:space="preserve">COBIT 2019 dipilih karena beberapa pertimbangan strategis. Pertama, framework ini merupakan versi terkini yang telah mengakomodasi perkembangan teknologi terbaru dan mengintegrasikan berbagai standar internasional seperti ITIL, TOGAF, dan CMMI. Kedua, COBIT 2019 menawarkan pendekatan yang lebih fleksibel melalui konsep </w:t>
      </w:r>
      <w:r>
        <w:rPr>
          <w:rFonts w:ascii="Times New Roman" w:hAnsi="Times New Roman"/>
          <w:i/>
          <w:sz w:val="24"/>
        </w:rPr>
        <w:t>design factors</w:t>
      </w:r>
      <w:r>
        <w:rPr>
          <w:rFonts w:ascii="Times New Roman" w:hAnsi="Times New Roman"/>
          <w:b w:val="0"/>
          <w:i w:val="0"/>
          <w:sz w:val="24"/>
        </w:rPr>
        <w:t xml:space="preserve"> yang memungkinkan penyesuaian tata kelola sesuai dengan karakteristik dan kebutuhan spesifik organisasi. Ketiga, COBIT 2019 memiliki model penilaian kapabilitas yang lebih terstruktur berbasis CMMI (Capability Maturity Model Integration), sehingga hasil penilaian lebih akurat dan dapat dibandingkan dengan standar internasional (Algiffary dkk., 2023).</w:t>
      </w:r>
    </w:p>
    <w:p>
      <w:pPr>
        <w:pStyle w:val="Heading3"/>
      </w:pPr>
      <w:r>
        <w:t>Perbedaan COBIT 2019 dengan Versi Sebelumnya</w:t>
      </w:r>
    </w:p>
    <w:p>
      <w:pPr>
        <w:spacing w:line="360" w:lineRule="auto" w:after="120"/>
        <w:ind w:firstLine="709"/>
        <w:jc w:val="both"/>
      </w:pPr>
      <w:r>
        <w:rPr>
          <w:rFonts w:ascii="Times New Roman" w:hAnsi="Times New Roman"/>
          <w:b w:val="0"/>
          <w:i w:val="0"/>
          <w:sz w:val="24"/>
        </w:rPr>
        <w:t>COBIT 2019 memiliki beberapa perbedaan signifikan dibandingkan dengan COBIT 5, sebagaimana dirangkum dalam tabel berikut:</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Aspek</w:t>
            </w:r>
          </w:p>
        </w:tc>
        <w:tc>
          <w:tcPr>
            <w:tcW w:type="dxa" w:w="2740"/>
          </w:tcPr>
          <w:p>
            <w:pPr>
              <w:spacing w:line="240" w:lineRule="auto" w:after="40" w:before="40"/>
              <w:jc w:val="center"/>
            </w:pPr>
            <w:r>
              <w:rPr>
                <w:rFonts w:ascii="Times New Roman" w:hAnsi="Times New Roman"/>
                <w:b/>
                <w:sz w:val="20"/>
              </w:rPr>
              <w:t>COBIT 5</w:t>
            </w:r>
          </w:p>
        </w:tc>
        <w:tc>
          <w:tcPr>
            <w:tcW w:type="dxa" w:w="2740"/>
          </w:tcPr>
          <w:p>
            <w:pPr>
              <w:spacing w:line="240" w:lineRule="auto" w:after="40" w:before="40"/>
              <w:jc w:val="center"/>
            </w:pPr>
            <w:r>
              <w:rPr>
                <w:rFonts w:ascii="Times New Roman" w:hAnsi="Times New Roman"/>
                <w:b/>
                <w:sz w:val="20"/>
              </w:rPr>
              <w:t>COBIT 2019</w:t>
            </w:r>
          </w:p>
        </w:tc>
      </w:tr>
      <w:tr>
        <w:tc>
          <w:tcPr>
            <w:tcW w:type="dxa" w:w="2740"/>
          </w:tcPr>
          <w:p>
            <w:pPr>
              <w:spacing w:line="240" w:lineRule="auto" w:after="40" w:before="40"/>
              <w:jc w:val="left"/>
            </w:pPr>
            <w:r>
              <w:rPr>
                <w:rFonts w:ascii="Times New Roman" w:hAnsi="Times New Roman"/>
                <w:sz w:val="20"/>
              </w:rPr>
              <w:t>Jumlah Proses</w:t>
            </w:r>
          </w:p>
        </w:tc>
        <w:tc>
          <w:tcPr>
            <w:tcW w:type="dxa" w:w="2740"/>
          </w:tcPr>
          <w:p>
            <w:pPr>
              <w:spacing w:line="240" w:lineRule="auto" w:after="40" w:before="40"/>
              <w:jc w:val="left"/>
            </w:pPr>
            <w:r>
              <w:rPr>
                <w:rFonts w:ascii="Times New Roman" w:hAnsi="Times New Roman"/>
                <w:sz w:val="20"/>
              </w:rPr>
              <w:t>37 proses</w:t>
            </w:r>
          </w:p>
        </w:tc>
        <w:tc>
          <w:tcPr>
            <w:tcW w:type="dxa" w:w="2740"/>
          </w:tcPr>
          <w:p>
            <w:pPr>
              <w:spacing w:line="240" w:lineRule="auto" w:after="40" w:before="40"/>
              <w:jc w:val="left"/>
            </w:pPr>
            <w:r>
              <w:rPr>
                <w:rFonts w:ascii="Times New Roman" w:hAnsi="Times New Roman"/>
                <w:sz w:val="20"/>
              </w:rPr>
              <w:t>40 proses (5 Governance + 35 Management)</w:t>
            </w:r>
          </w:p>
        </w:tc>
      </w:tr>
      <w:tr>
        <w:tc>
          <w:tcPr>
            <w:tcW w:type="dxa" w:w="2740"/>
          </w:tcPr>
          <w:p>
            <w:pPr>
              <w:spacing w:line="240" w:lineRule="auto" w:after="40" w:before="40"/>
              <w:jc w:val="left"/>
            </w:pPr>
            <w:r>
              <w:rPr>
                <w:rFonts w:ascii="Times New Roman" w:hAnsi="Times New Roman"/>
                <w:sz w:val="20"/>
              </w:rPr>
              <w:t>Prinsip</w:t>
            </w:r>
          </w:p>
        </w:tc>
        <w:tc>
          <w:tcPr>
            <w:tcW w:type="dxa" w:w="2740"/>
          </w:tcPr>
          <w:p>
            <w:pPr>
              <w:spacing w:line="240" w:lineRule="auto" w:after="40" w:before="40"/>
              <w:jc w:val="left"/>
            </w:pPr>
            <w:r>
              <w:rPr>
                <w:rFonts w:ascii="Times New Roman" w:hAnsi="Times New Roman"/>
                <w:sz w:val="20"/>
              </w:rPr>
              <w:t>5 prinsip</w:t>
            </w:r>
          </w:p>
        </w:tc>
        <w:tc>
          <w:tcPr>
            <w:tcW w:type="dxa" w:w="2740"/>
          </w:tcPr>
          <w:p>
            <w:pPr>
              <w:spacing w:line="240" w:lineRule="auto" w:after="40" w:before="40"/>
              <w:jc w:val="left"/>
            </w:pPr>
            <w:r>
              <w:rPr>
                <w:rFonts w:ascii="Times New Roman" w:hAnsi="Times New Roman"/>
                <w:sz w:val="20"/>
              </w:rPr>
              <w:t>6 prinsip (dibagi menjadi sistem tata kelola dan kerangka tata kelola)</w:t>
            </w:r>
          </w:p>
        </w:tc>
      </w:tr>
      <w:tr>
        <w:tc>
          <w:tcPr>
            <w:tcW w:type="dxa" w:w="2740"/>
          </w:tcPr>
          <w:p>
            <w:pPr>
              <w:spacing w:line="240" w:lineRule="auto" w:after="40" w:before="40"/>
              <w:jc w:val="left"/>
            </w:pPr>
            <w:r>
              <w:rPr>
                <w:rFonts w:ascii="Times New Roman" w:hAnsi="Times New Roman"/>
                <w:sz w:val="20"/>
              </w:rPr>
              <w:t>Capability Level</w:t>
            </w:r>
          </w:p>
        </w:tc>
        <w:tc>
          <w:tcPr>
            <w:tcW w:type="dxa" w:w="2740"/>
          </w:tcPr>
          <w:p>
            <w:pPr>
              <w:spacing w:line="240" w:lineRule="auto" w:after="40" w:before="40"/>
              <w:jc w:val="left"/>
            </w:pPr>
            <w:r>
              <w:rPr>
                <w:rFonts w:ascii="Times New Roman" w:hAnsi="Times New Roman"/>
                <w:sz w:val="20"/>
              </w:rPr>
              <w:t>0–5</w:t>
            </w:r>
          </w:p>
        </w:tc>
        <w:tc>
          <w:tcPr>
            <w:tcW w:type="dxa" w:w="2740"/>
          </w:tcPr>
          <w:p>
            <w:pPr>
              <w:spacing w:line="240" w:lineRule="auto" w:after="40" w:before="40"/>
              <w:jc w:val="left"/>
            </w:pPr>
            <w:r>
              <w:rPr>
                <w:rFonts w:ascii="Times New Roman" w:hAnsi="Times New Roman"/>
                <w:sz w:val="20"/>
              </w:rPr>
              <w:t>0–5 (berbasis CMMI)</w:t>
            </w:r>
          </w:p>
        </w:tc>
      </w:tr>
      <w:tr>
        <w:tc>
          <w:tcPr>
            <w:tcW w:type="dxa" w:w="2740"/>
          </w:tcPr>
          <w:p>
            <w:pPr>
              <w:spacing w:line="240" w:lineRule="auto" w:after="40" w:before="40"/>
              <w:jc w:val="left"/>
            </w:pPr>
            <w:r>
              <w:rPr>
                <w:rFonts w:ascii="Times New Roman" w:hAnsi="Times New Roman"/>
                <w:sz w:val="20"/>
              </w:rPr>
              <w:t>Fleksibilitas</w:t>
            </w:r>
          </w:p>
        </w:tc>
        <w:tc>
          <w:tcPr>
            <w:tcW w:type="dxa" w:w="2740"/>
          </w:tcPr>
          <w:p>
            <w:pPr>
              <w:spacing w:line="240" w:lineRule="auto" w:after="40" w:before="40"/>
              <w:jc w:val="left"/>
            </w:pPr>
            <w:r>
              <w:rPr>
                <w:rFonts w:ascii="Times New Roman" w:hAnsi="Times New Roman"/>
                <w:sz w:val="20"/>
              </w:rPr>
              <w:t>Tetap</w:t>
            </w:r>
          </w:p>
        </w:tc>
        <w:tc>
          <w:tcPr>
            <w:tcW w:type="dxa" w:w="2740"/>
          </w:tcPr>
          <w:p>
            <w:pPr>
              <w:spacing w:line="240" w:lineRule="auto" w:after="40" w:before="40"/>
              <w:jc w:val="left"/>
            </w:pPr>
            <w:r>
              <w:rPr>
                <w:rFonts w:ascii="Times New Roman" w:hAnsi="Times New Roman"/>
                <w:sz w:val="20"/>
              </w:rPr>
              <w:t>Dapat disesuaikan dengan kebutuhan organisasi melalui design factors</w:t>
            </w:r>
          </w:p>
        </w:tc>
      </w:tr>
      <w:tr>
        <w:tc>
          <w:tcPr>
            <w:tcW w:type="dxa" w:w="2740"/>
          </w:tcPr>
          <w:p>
            <w:pPr>
              <w:spacing w:line="240" w:lineRule="auto" w:after="40" w:before="40"/>
              <w:jc w:val="left"/>
            </w:pPr>
            <w:r>
              <w:rPr>
                <w:rFonts w:ascii="Times New Roman" w:hAnsi="Times New Roman"/>
                <w:sz w:val="20"/>
              </w:rPr>
              <w:t>Integrasi</w:t>
            </w:r>
          </w:p>
        </w:tc>
        <w:tc>
          <w:tcPr>
            <w:tcW w:type="dxa" w:w="2740"/>
          </w:tcPr>
          <w:p>
            <w:pPr>
              <w:spacing w:line="240" w:lineRule="auto" w:after="40" w:before="40"/>
              <w:jc w:val="left"/>
            </w:pPr>
            <w:r>
              <w:rPr>
                <w:rFonts w:ascii="Times New Roman" w:hAnsi="Times New Roman"/>
                <w:sz w:val="20"/>
              </w:rPr>
              <w:t>Terbatas</w:t>
            </w:r>
          </w:p>
        </w:tc>
        <w:tc>
          <w:tcPr>
            <w:tcW w:type="dxa" w:w="2740"/>
          </w:tcPr>
          <w:p>
            <w:pPr>
              <w:spacing w:line="240" w:lineRule="auto" w:after="40" w:before="40"/>
              <w:jc w:val="left"/>
            </w:pPr>
            <w:r>
              <w:rPr>
                <w:rFonts w:ascii="Times New Roman" w:hAnsi="Times New Roman"/>
                <w:sz w:val="20"/>
              </w:rPr>
              <w:t>Mengintegrasikan ITIL, TOGAF, CMMI</w:t>
            </w:r>
          </w:p>
        </w:tc>
      </w:tr>
    </w:tbl>
    <w:p>
      <w:pPr>
        <w:spacing w:after="120"/>
      </w:pPr>
    </w:p>
    <w:p>
      <w:pPr>
        <w:spacing w:line="360" w:lineRule="auto" w:after="120"/>
        <w:ind w:firstLine="709"/>
        <w:jc w:val="both"/>
      </w:pPr>
      <w:r>
        <w:rPr>
          <w:rFonts w:ascii="Times New Roman" w:hAnsi="Times New Roman"/>
          <w:b w:val="0"/>
          <w:i w:val="0"/>
          <w:sz w:val="24"/>
        </w:rPr>
        <w:t>Penggunaan COBIT versi terdahulu masih banyak dijumpai pada berbagai penelitian audit, seperti audit sistem informasi penjualan yang memanfaatkan COBIT 5 maupun audit sistem perkreditan yang menggunakan COBIT 4.0 (Zuraidah &amp; Sulthon, 2022a, 2022b). Namun, pemilihan COBIT 2019 pada audit ini didasarkan pada keunggulan kerangka kerja terbaru tersebut dalam hal fleksibilitas dan integrasi standar internasional sebagaimana tercermin pada tabel di atas.</w:t>
      </w:r>
    </w:p>
    <w:p>
      <w:pPr>
        <w:pStyle w:val="Heading3"/>
      </w:pPr>
      <w:r>
        <w:t>6 Prinsip COBIT 2019</w:t>
      </w:r>
    </w:p>
    <w:p>
      <w:pPr>
        <w:spacing w:line="360" w:lineRule="auto" w:after="120"/>
        <w:ind w:firstLine="709"/>
        <w:jc w:val="both"/>
      </w:pPr>
      <w:r>
        <w:rPr>
          <w:rFonts w:ascii="Times New Roman" w:hAnsi="Times New Roman"/>
          <w:b w:val="0"/>
          <w:i w:val="0"/>
          <w:sz w:val="24"/>
        </w:rPr>
        <w:t>COBIT 2019 dibangun di atas enam prinsip utama yang terbagi menjadi dua kelompok:</w:t>
      </w:r>
    </w:p>
    <w:p>
      <w:pPr>
        <w:spacing w:line="360" w:lineRule="auto" w:before="120" w:after="80"/>
      </w:pPr>
      <w:r>
        <w:rPr>
          <w:rFonts w:ascii="Times New Roman" w:hAnsi="Times New Roman"/>
          <w:b/>
          <w:sz w:val="24"/>
        </w:rPr>
        <w:t>Prinsip Sistem Tata Kelola:</w:t>
      </w:r>
    </w:p>
    <w:p>
      <w:pPr>
        <w:spacing w:line="360" w:lineRule="auto" w:after="40"/>
        <w:ind w:left="709" w:hanging="283"/>
        <w:jc w:val="both"/>
      </w:pPr>
      <w:r>
        <w:rPr>
          <w:rFonts w:ascii="Times New Roman" w:hAnsi="Times New Roman"/>
          <w:sz w:val="24"/>
        </w:rPr>
        <w:t>1. Memenuhi kebutuhan para pemangku kepentingan (meeting stakeholder needs)</w:t>
      </w:r>
    </w:p>
    <w:p>
      <w:pPr>
        <w:spacing w:line="360" w:lineRule="auto" w:after="40"/>
        <w:ind w:left="709" w:hanging="283"/>
        <w:jc w:val="both"/>
      </w:pPr>
      <w:r>
        <w:rPr>
          <w:rFonts w:ascii="Times New Roman" w:hAnsi="Times New Roman"/>
          <w:sz w:val="24"/>
        </w:rPr>
        <w:t>2. Memungkinkan pendekatan yang holistik (holistic approach)</w:t>
      </w:r>
    </w:p>
    <w:p>
      <w:pPr>
        <w:spacing w:line="360" w:lineRule="auto" w:after="40"/>
        <w:ind w:left="709" w:hanging="283"/>
        <w:jc w:val="both"/>
      </w:pPr>
      <w:r>
        <w:rPr>
          <w:rFonts w:ascii="Times New Roman" w:hAnsi="Times New Roman"/>
          <w:sz w:val="24"/>
        </w:rPr>
        <w:t>3. Penerapan sistem tata kelola yang dinamis (dynamic governance system)</w:t>
      </w:r>
    </w:p>
    <w:p>
      <w:pPr>
        <w:spacing w:line="360" w:lineRule="auto" w:before="120" w:after="80"/>
      </w:pPr>
      <w:r>
        <w:rPr>
          <w:rFonts w:ascii="Times New Roman" w:hAnsi="Times New Roman"/>
          <w:b/>
          <w:sz w:val="24"/>
        </w:rPr>
        <w:t>Prinsip Kerangka Tata Kelola:</w:t>
      </w:r>
    </w:p>
    <w:p>
      <w:pPr>
        <w:spacing w:line="360" w:lineRule="auto" w:after="40"/>
        <w:ind w:left="709" w:hanging="283"/>
        <w:jc w:val="both"/>
      </w:pPr>
      <w:r>
        <w:rPr>
          <w:rFonts w:ascii="Times New Roman" w:hAnsi="Times New Roman"/>
          <w:sz w:val="24"/>
        </w:rPr>
        <w:t>4. Memisahkan tata kelola dengan manajemen (governance distinct from management)</w:t>
      </w:r>
    </w:p>
    <w:p>
      <w:pPr>
        <w:spacing w:line="360" w:lineRule="auto" w:after="40"/>
        <w:ind w:left="709" w:hanging="283"/>
        <w:jc w:val="both"/>
      </w:pPr>
      <w:r>
        <w:rPr>
          <w:rFonts w:ascii="Times New Roman" w:hAnsi="Times New Roman"/>
          <w:sz w:val="24"/>
        </w:rPr>
        <w:t>5. Dapat disesuaikan dengan kebutuhan organisasi (tailored to enterprise needs)</w:t>
      </w:r>
    </w:p>
    <w:p>
      <w:pPr>
        <w:spacing w:line="360" w:lineRule="auto" w:after="40"/>
        <w:ind w:left="709" w:hanging="283"/>
        <w:jc w:val="both"/>
      </w:pPr>
      <w:r>
        <w:rPr>
          <w:rFonts w:ascii="Times New Roman" w:hAnsi="Times New Roman"/>
          <w:sz w:val="24"/>
        </w:rPr>
        <w:t>6. Mencakup organisasi secara menyeluruh (end-to-end governance system)</w:t>
      </w:r>
    </w:p>
    <w:p>
      <w:pPr>
        <w:pStyle w:val="Heading3"/>
      </w:pPr>
      <w:r>
        <w:t>Capability Level COBIT 2019</w:t>
      </w:r>
    </w:p>
    <w:p>
      <w:pPr>
        <w:spacing w:line="360" w:lineRule="auto" w:after="120"/>
        <w:ind w:firstLine="709"/>
        <w:jc w:val="both"/>
      </w:pPr>
      <w:r>
        <w:rPr>
          <w:rFonts w:ascii="Times New Roman" w:hAnsi="Times New Roman"/>
          <w:b w:val="0"/>
          <w:i w:val="0"/>
          <w:sz w:val="24"/>
        </w:rPr>
        <w:t>COBIT 2019 menggunakan model penilaian kapabilitas dengan 6 level (0–5) yang berbasis CMMI. Penilaian capability level ini bertujuan untuk mengukur sejauh mana suatu proses tata kelola TI telah dilaksanakan dan dikelola, sehingga organisasi dapat mengetahui posisi kematangannya serta menetapkan target perbaikan yang realistis (Sakron dkk., 2023):</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Deskripsi</w:t>
            </w:r>
          </w:p>
        </w:tc>
      </w:tr>
      <w:tr>
        <w:tc>
          <w:tcPr>
            <w:tcW w:type="dxa" w:w="2740"/>
          </w:tcPr>
          <w:p>
            <w:pPr>
              <w:spacing w:line="240" w:lineRule="auto" w:after="40" w:before="40"/>
              <w:jc w:val="left"/>
            </w:pPr>
            <w:r>
              <w:rPr>
                <w:rFonts w:ascii="Times New Roman" w:hAnsi="Times New Roman"/>
                <w:sz w:val="20"/>
              </w:rPr>
              <w:t>0</w:t>
            </w:r>
          </w:p>
        </w:tc>
        <w:tc>
          <w:tcPr>
            <w:tcW w:type="dxa" w:w="2740"/>
          </w:tcPr>
          <w:p>
            <w:pPr>
              <w:spacing w:line="240" w:lineRule="auto" w:after="40" w:before="40"/>
              <w:jc w:val="left"/>
            </w:pPr>
            <w:r>
              <w:rPr>
                <w:rFonts w:ascii="Times New Roman" w:hAnsi="Times New Roman"/>
                <w:sz w:val="20"/>
              </w:rPr>
              <w:t>Incomplete</w:t>
            </w:r>
          </w:p>
        </w:tc>
        <w:tc>
          <w:tcPr>
            <w:tcW w:type="dxa" w:w="2740"/>
          </w:tcPr>
          <w:p>
            <w:pPr>
              <w:spacing w:line="240" w:lineRule="auto" w:after="40" w:before="40"/>
              <w:jc w:val="left"/>
            </w:pPr>
            <w:r>
              <w:rPr>
                <w:rFonts w:ascii="Times New Roman" w:hAnsi="Times New Roman"/>
                <w:sz w:val="20"/>
              </w:rPr>
              <w:t>Kurang memiliki kemampuan dasar, pendekatan tidak lengkap untuk memenuhi tujuan tata kelola dan manajemen</w:t>
            </w:r>
          </w:p>
        </w:tc>
      </w:tr>
      <w:tr>
        <w:tc>
          <w:tcPr>
            <w:tcW w:type="dxa" w:w="2740"/>
          </w:tcPr>
          <w:p>
            <w:pPr>
              <w:spacing w:line="240" w:lineRule="auto" w:after="40" w:before="40"/>
              <w:jc w:val="left"/>
            </w:pPr>
            <w:r>
              <w:rPr>
                <w:rFonts w:ascii="Times New Roman" w:hAnsi="Times New Roman"/>
                <w:sz w:val="20"/>
              </w:rPr>
              <w:t>1</w:t>
            </w:r>
          </w:p>
        </w:tc>
        <w:tc>
          <w:tcPr>
            <w:tcW w:type="dxa" w:w="2740"/>
          </w:tcPr>
          <w:p>
            <w:pPr>
              <w:spacing w:line="240" w:lineRule="auto" w:after="40" w:before="40"/>
              <w:jc w:val="left"/>
            </w:pPr>
            <w:r>
              <w:rPr>
                <w:rFonts w:ascii="Times New Roman" w:hAnsi="Times New Roman"/>
                <w:sz w:val="20"/>
              </w:rPr>
              <w:t>Performed</w:t>
            </w:r>
          </w:p>
        </w:tc>
        <w:tc>
          <w:tcPr>
            <w:tcW w:type="dxa" w:w="2740"/>
          </w:tcPr>
          <w:p>
            <w:pPr>
              <w:spacing w:line="240" w:lineRule="auto" w:after="40" w:before="40"/>
              <w:jc w:val="left"/>
            </w:pPr>
            <w:r>
              <w:rPr>
                <w:rFonts w:ascii="Times New Roman" w:hAnsi="Times New Roman"/>
                <w:sz w:val="20"/>
              </w:rPr>
              <w:t>Proses kurang lebih mencapai tujuannya melalui penerapan serangkaian kegiatan yang tidak lengkap yang dapat dikategorikan sebagai initial atau intuitive — tidak terorganisasi dengan sangat baik</w:t>
            </w:r>
          </w:p>
        </w:tc>
      </w:tr>
      <w:tr>
        <w:tc>
          <w:tcPr>
            <w:tcW w:type="dxa" w:w="2740"/>
          </w:tcPr>
          <w:p>
            <w:pPr>
              <w:spacing w:line="240" w:lineRule="auto" w:after="40" w:before="40"/>
              <w:jc w:val="left"/>
            </w:pPr>
            <w:r>
              <w:rPr>
                <w:rFonts w:ascii="Times New Roman" w:hAnsi="Times New Roman"/>
                <w:sz w:val="20"/>
              </w:rPr>
              <w:t>2</w:t>
            </w:r>
          </w:p>
        </w:tc>
        <w:tc>
          <w:tcPr>
            <w:tcW w:type="dxa" w:w="2740"/>
          </w:tcPr>
          <w:p>
            <w:pPr>
              <w:spacing w:line="240" w:lineRule="auto" w:after="40" w:before="40"/>
              <w:jc w:val="left"/>
            </w:pPr>
            <w:r>
              <w:rPr>
                <w:rFonts w:ascii="Times New Roman" w:hAnsi="Times New Roman"/>
                <w:sz w:val="20"/>
              </w:rPr>
              <w:t>Managed</w:t>
            </w:r>
          </w:p>
        </w:tc>
        <w:tc>
          <w:tcPr>
            <w:tcW w:type="dxa" w:w="2740"/>
          </w:tcPr>
          <w:p>
            <w:pPr>
              <w:spacing w:line="240" w:lineRule="auto" w:after="40" w:before="40"/>
              <w:jc w:val="left"/>
            </w:pPr>
            <w:r>
              <w:rPr>
                <w:rFonts w:ascii="Times New Roman" w:hAnsi="Times New Roman"/>
                <w:sz w:val="20"/>
              </w:rPr>
              <w:t>Proses mencapai tujuannya melalui penerapan serangkaian kegiatan dasar yang lengkap yang dapat dikategorikan sebagai performed</w:t>
            </w:r>
          </w:p>
        </w:tc>
      </w:tr>
      <w:tr>
        <w:tc>
          <w:tcPr>
            <w:tcW w:type="dxa" w:w="2740"/>
          </w:tcPr>
          <w:p>
            <w:pPr>
              <w:spacing w:line="240" w:lineRule="auto" w:after="40" w:before="40"/>
              <w:jc w:val="left"/>
            </w:pPr>
            <w:r>
              <w:rPr>
                <w:rFonts w:ascii="Times New Roman" w:hAnsi="Times New Roman"/>
                <w:sz w:val="20"/>
              </w:rPr>
              <w:t>3</w:t>
            </w:r>
          </w:p>
        </w:tc>
        <w:tc>
          <w:tcPr>
            <w:tcW w:type="dxa" w:w="2740"/>
          </w:tcPr>
          <w:p>
            <w:pPr>
              <w:spacing w:line="240" w:lineRule="auto" w:after="40" w:before="40"/>
              <w:jc w:val="left"/>
            </w:pPr>
            <w:r>
              <w:rPr>
                <w:rFonts w:ascii="Times New Roman" w:hAnsi="Times New Roman"/>
                <w:sz w:val="20"/>
              </w:rPr>
              <w:t>Established</w:t>
            </w:r>
          </w:p>
        </w:tc>
        <w:tc>
          <w:tcPr>
            <w:tcW w:type="dxa" w:w="2740"/>
          </w:tcPr>
          <w:p>
            <w:pPr>
              <w:spacing w:line="240" w:lineRule="auto" w:after="40" w:before="40"/>
              <w:jc w:val="left"/>
            </w:pPr>
            <w:r>
              <w:rPr>
                <w:rFonts w:ascii="Times New Roman" w:hAnsi="Times New Roman"/>
                <w:sz w:val="20"/>
              </w:rPr>
              <w:t>Proses mencapai tujuannya, didefinisikan dengan baik, dan kinerjanya diukur secara kualitatif</w:t>
            </w:r>
          </w:p>
        </w:tc>
      </w:tr>
      <w:tr>
        <w:tc>
          <w:tcPr>
            <w:tcW w:type="dxa" w:w="2740"/>
          </w:tcPr>
          <w:p>
            <w:pPr>
              <w:spacing w:line="240" w:lineRule="auto" w:after="40" w:before="40"/>
              <w:jc w:val="left"/>
            </w:pPr>
            <w:r>
              <w:rPr>
                <w:rFonts w:ascii="Times New Roman" w:hAnsi="Times New Roman"/>
                <w:sz w:val="20"/>
              </w:rPr>
              <w:t>4</w:t>
            </w:r>
          </w:p>
        </w:tc>
        <w:tc>
          <w:tcPr>
            <w:tcW w:type="dxa" w:w="2740"/>
          </w:tcPr>
          <w:p>
            <w:pPr>
              <w:spacing w:line="240" w:lineRule="auto" w:after="40" w:before="40"/>
              <w:jc w:val="left"/>
            </w:pPr>
            <w:r>
              <w:rPr>
                <w:rFonts w:ascii="Times New Roman" w:hAnsi="Times New Roman"/>
                <w:sz w:val="20"/>
              </w:rPr>
              <w:t>Predictable</w:t>
            </w:r>
          </w:p>
        </w:tc>
        <w:tc>
          <w:tcPr>
            <w:tcW w:type="dxa" w:w="2740"/>
          </w:tcPr>
          <w:p>
            <w:pPr>
              <w:spacing w:line="240" w:lineRule="auto" w:after="40" w:before="40"/>
              <w:jc w:val="left"/>
            </w:pPr>
            <w:r>
              <w:rPr>
                <w:rFonts w:ascii="Times New Roman" w:hAnsi="Times New Roman"/>
                <w:sz w:val="20"/>
              </w:rPr>
              <w:t>Proses mencapai tujuannya, terdefinisi dengan baik, dan kinerjanya diukur secara kuantitatif</w:t>
            </w:r>
          </w:p>
        </w:tc>
      </w:tr>
      <w:tr>
        <w:tc>
          <w:tcPr>
            <w:tcW w:type="dxa" w:w="2740"/>
          </w:tcPr>
          <w:p>
            <w:pPr>
              <w:spacing w:line="240" w:lineRule="auto" w:after="40" w:before="40"/>
              <w:jc w:val="left"/>
            </w:pPr>
            <w:r>
              <w:rPr>
                <w:rFonts w:ascii="Times New Roman" w:hAnsi="Times New Roman"/>
                <w:sz w:val="20"/>
              </w:rPr>
              <w:t>5</w:t>
            </w:r>
          </w:p>
        </w:tc>
        <w:tc>
          <w:tcPr>
            <w:tcW w:type="dxa" w:w="2740"/>
          </w:tcPr>
          <w:p>
            <w:pPr>
              <w:spacing w:line="240" w:lineRule="auto" w:after="40" w:before="40"/>
              <w:jc w:val="left"/>
            </w:pPr>
            <w:r>
              <w:rPr>
                <w:rFonts w:ascii="Times New Roman" w:hAnsi="Times New Roman"/>
                <w:sz w:val="20"/>
              </w:rPr>
              <w:t>Optimizing</w:t>
            </w:r>
          </w:p>
        </w:tc>
        <w:tc>
          <w:tcPr>
            <w:tcW w:type="dxa" w:w="2740"/>
          </w:tcPr>
          <w:p>
            <w:pPr>
              <w:spacing w:line="240" w:lineRule="auto" w:after="40" w:before="40"/>
              <w:jc w:val="left"/>
            </w:pPr>
            <w:r>
              <w:rPr>
                <w:rFonts w:ascii="Times New Roman" w:hAnsi="Times New Roman"/>
                <w:sz w:val="20"/>
              </w:rPr>
              <w:t>Proses mencapai tujuannya, terdefinisi dengan baik, kinerjanya diukur, dan perbaikan berkelanjutan diterapkan</w:t>
            </w:r>
          </w:p>
        </w:tc>
      </w:tr>
    </w:tbl>
    <w:p>
      <w:pPr>
        <w:spacing w:after="120"/>
      </w:pPr>
    </w:p>
    <w:p>
      <w:pPr>
        <w:pStyle w:val="Heading3"/>
      </w:pPr>
      <w:r>
        <w:t>Rating Scale Ketercapaian</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Notasi</w:t>
            </w:r>
          </w:p>
        </w:tc>
        <w:tc>
          <w:tcPr>
            <w:tcW w:type="dxa" w:w="2740"/>
          </w:tcPr>
          <w:p>
            <w:pPr>
              <w:spacing w:line="240" w:lineRule="auto" w:after="40" w:before="40"/>
              <w:jc w:val="center"/>
            </w:pPr>
            <w:r>
              <w:rPr>
                <w:rFonts w:ascii="Times New Roman" w:hAnsi="Times New Roman"/>
                <w:b/>
                <w:sz w:val="20"/>
              </w:rPr>
              <w:t>Deskripsi</w:t>
            </w:r>
          </w:p>
        </w:tc>
        <w:tc>
          <w:tcPr>
            <w:tcW w:type="dxa" w:w="2740"/>
          </w:tcPr>
          <w:p>
            <w:pPr>
              <w:spacing w:line="240" w:lineRule="auto" w:after="40" w:before="40"/>
              <w:jc w:val="center"/>
            </w:pPr>
            <w:r>
              <w:rPr>
                <w:rFonts w:ascii="Times New Roman" w:hAnsi="Times New Roman"/>
                <w:b/>
                <w:sz w:val="20"/>
              </w:rPr>
              <w:t>Persentase Ketercapaian</w:t>
            </w:r>
          </w:p>
        </w:tc>
      </w:tr>
      <w:tr>
        <w:tc>
          <w:tcPr>
            <w:tcW w:type="dxa" w:w="2740"/>
          </w:tcPr>
          <w:p>
            <w:pPr>
              <w:spacing w:line="240" w:lineRule="auto" w:after="40" w:before="40"/>
              <w:jc w:val="left"/>
            </w:pPr>
            <w:r>
              <w:rPr>
                <w:rFonts w:ascii="Times New Roman" w:hAnsi="Times New Roman"/>
                <w:sz w:val="20"/>
              </w:rPr>
              <w:t>N</w:t>
            </w:r>
          </w:p>
        </w:tc>
        <w:tc>
          <w:tcPr>
            <w:tcW w:type="dxa" w:w="2740"/>
          </w:tcPr>
          <w:p>
            <w:pPr>
              <w:spacing w:line="240" w:lineRule="auto" w:after="40" w:before="40"/>
              <w:jc w:val="left"/>
            </w:pPr>
            <w:r>
              <w:rPr>
                <w:rFonts w:ascii="Times New Roman" w:hAnsi="Times New Roman"/>
                <w:sz w:val="20"/>
              </w:rPr>
              <w:t>Not Achieved</w:t>
            </w:r>
          </w:p>
        </w:tc>
        <w:tc>
          <w:tcPr>
            <w:tcW w:type="dxa" w:w="2740"/>
          </w:tcPr>
          <w:p>
            <w:pPr>
              <w:spacing w:line="240" w:lineRule="auto" w:after="40" w:before="40"/>
              <w:jc w:val="left"/>
            </w:pPr>
            <w:r>
              <w:rPr>
                <w:rFonts w:ascii="Times New Roman" w:hAnsi="Times New Roman"/>
                <w:sz w:val="20"/>
              </w:rPr>
              <w:t>0–15%</w:t>
            </w:r>
          </w:p>
        </w:tc>
      </w:tr>
      <w:tr>
        <w:tc>
          <w:tcPr>
            <w:tcW w:type="dxa" w:w="2740"/>
          </w:tcPr>
          <w:p>
            <w:pPr>
              <w:spacing w:line="240" w:lineRule="auto" w:after="40" w:before="40"/>
              <w:jc w:val="left"/>
            </w:pPr>
            <w:r>
              <w:rPr>
                <w:rFonts w:ascii="Times New Roman" w:hAnsi="Times New Roman"/>
                <w:sz w:val="20"/>
              </w:rPr>
              <w:t>P</w:t>
            </w:r>
          </w:p>
        </w:tc>
        <w:tc>
          <w:tcPr>
            <w:tcW w:type="dxa" w:w="2740"/>
          </w:tcPr>
          <w:p>
            <w:pPr>
              <w:spacing w:line="240" w:lineRule="auto" w:after="40" w:before="40"/>
              <w:jc w:val="left"/>
            </w:pPr>
            <w:r>
              <w:rPr>
                <w:rFonts w:ascii="Times New Roman" w:hAnsi="Times New Roman"/>
                <w:sz w:val="20"/>
              </w:rPr>
              <w:t>Partially Achieved</w:t>
            </w:r>
          </w:p>
        </w:tc>
        <w:tc>
          <w:tcPr>
            <w:tcW w:type="dxa" w:w="2740"/>
          </w:tcPr>
          <w:p>
            <w:pPr>
              <w:spacing w:line="240" w:lineRule="auto" w:after="40" w:before="40"/>
              <w:jc w:val="left"/>
            </w:pPr>
            <w:r>
              <w:rPr>
                <w:rFonts w:ascii="Times New Roman" w:hAnsi="Times New Roman"/>
                <w:sz w:val="20"/>
              </w:rPr>
              <w:t>&gt;15%–50%</w:t>
            </w:r>
          </w:p>
        </w:tc>
      </w:tr>
      <w:tr>
        <w:tc>
          <w:tcPr>
            <w:tcW w:type="dxa" w:w="2740"/>
          </w:tcPr>
          <w:p>
            <w:pPr>
              <w:spacing w:line="240" w:lineRule="auto" w:after="40" w:before="40"/>
              <w:jc w:val="left"/>
            </w:pPr>
            <w:r>
              <w:rPr>
                <w:rFonts w:ascii="Times New Roman" w:hAnsi="Times New Roman"/>
                <w:sz w:val="20"/>
              </w:rPr>
              <w:t>L</w:t>
            </w:r>
          </w:p>
        </w:tc>
        <w:tc>
          <w:tcPr>
            <w:tcW w:type="dxa" w:w="2740"/>
          </w:tcPr>
          <w:p>
            <w:pPr>
              <w:spacing w:line="240" w:lineRule="auto" w:after="40" w:before="40"/>
              <w:jc w:val="left"/>
            </w:pPr>
            <w:r>
              <w:rPr>
                <w:rFonts w:ascii="Times New Roman" w:hAnsi="Times New Roman"/>
                <w:sz w:val="20"/>
              </w:rPr>
              <w:t>Largely Achieved</w:t>
            </w:r>
          </w:p>
        </w:tc>
        <w:tc>
          <w:tcPr>
            <w:tcW w:type="dxa" w:w="2740"/>
          </w:tcPr>
          <w:p>
            <w:pPr>
              <w:spacing w:line="240" w:lineRule="auto" w:after="40" w:before="40"/>
              <w:jc w:val="left"/>
            </w:pPr>
            <w:r>
              <w:rPr>
                <w:rFonts w:ascii="Times New Roman" w:hAnsi="Times New Roman"/>
                <w:sz w:val="20"/>
              </w:rPr>
              <w:t>&gt;50%–85%</w:t>
            </w:r>
          </w:p>
        </w:tc>
      </w:tr>
      <w:tr>
        <w:tc>
          <w:tcPr>
            <w:tcW w:type="dxa" w:w="2740"/>
          </w:tcPr>
          <w:p>
            <w:pPr>
              <w:spacing w:line="240" w:lineRule="auto" w:after="40" w:before="40"/>
              <w:jc w:val="left"/>
            </w:pPr>
            <w:r>
              <w:rPr>
                <w:rFonts w:ascii="Times New Roman" w:hAnsi="Times New Roman"/>
                <w:sz w:val="20"/>
              </w:rPr>
              <w:t>F</w:t>
            </w:r>
          </w:p>
        </w:tc>
        <w:tc>
          <w:tcPr>
            <w:tcW w:type="dxa" w:w="2740"/>
          </w:tcPr>
          <w:p>
            <w:pPr>
              <w:spacing w:line="240" w:lineRule="auto" w:after="40" w:before="40"/>
              <w:jc w:val="left"/>
            </w:pPr>
            <w:r>
              <w:rPr>
                <w:rFonts w:ascii="Times New Roman" w:hAnsi="Times New Roman"/>
                <w:sz w:val="20"/>
              </w:rPr>
              <w:t>Fully Achieved</w:t>
            </w:r>
          </w:p>
        </w:tc>
        <w:tc>
          <w:tcPr>
            <w:tcW w:type="dxa" w:w="2740"/>
          </w:tcPr>
          <w:p>
            <w:pPr>
              <w:spacing w:line="240" w:lineRule="auto" w:after="40" w:before="40"/>
              <w:jc w:val="left"/>
            </w:pPr>
            <w:r>
              <w:rPr>
                <w:rFonts w:ascii="Times New Roman" w:hAnsi="Times New Roman"/>
                <w:sz w:val="20"/>
              </w:rPr>
              <w:t>&gt;85%–100%</w:t>
            </w:r>
          </w:p>
        </w:tc>
      </w:tr>
    </w:tbl>
    <w:p>
      <w:pPr>
        <w:spacing w:after="120"/>
      </w:pPr>
    </w:p>
    <w:p>
      <w:pPr>
        <w:pStyle w:val="Heading2"/>
      </w:pPr>
      <w:r>
        <w:t>B. Domain dan Subdomain yang Digunakan</w:t>
      </w:r>
    </w:p>
    <w:p>
      <w:pPr>
        <w:spacing w:line="360" w:lineRule="auto" w:after="120"/>
        <w:ind w:firstLine="709"/>
        <w:jc w:val="both"/>
      </w:pPr>
      <w:r>
        <w:rPr>
          <w:rFonts w:ascii="Times New Roman" w:hAnsi="Times New Roman"/>
          <w:b w:val="0"/>
          <w:i w:val="0"/>
          <w:sz w:val="24"/>
        </w:rPr>
        <w:t>Berdasarkan analisis terhadap kondisi tata kelola teknologi informasi di PT. Murni Solusindo Nusantara, dipilih lima domain COBIT 2019 yang paling relevan dengan permasalahan yang dihadapi perusahaan. Pemilihan domain ini didasarkan pada profil bisnis perusahaan sebagai pengelola beberapa platform digital (Web Builder SaaS, Listing Property, dan Indoconnex) yang membutuhkan tata kelola TI yang komprehensif.</w:t>
      </w:r>
    </w:p>
    <w:p>
      <w:pPr>
        <w:pStyle w:val="Heading3"/>
      </w:pPr>
      <w:r>
        <w:t>1. APO12 — Managed Risk (Pengelolaan Risiko)</w:t>
      </w:r>
    </w:p>
    <w:p>
      <w:pPr>
        <w:spacing w:line="360" w:lineRule="auto" w:after="120"/>
        <w:ind w:firstLine="709"/>
        <w:jc w:val="both"/>
      </w:pPr>
      <w:r>
        <w:rPr>
          <w:rFonts w:ascii="Times New Roman" w:hAnsi="Times New Roman"/>
          <w:b w:val="0"/>
          <w:i w:val="0"/>
          <w:sz w:val="24"/>
        </w:rPr>
        <w:t>Domain APO12 berfokus pada pengelolaan risiko teknologi informasi secara berkelanjutan. Pemilihan domain ini didasarkan pada fakta bahwa PT. Murni Solusindo Nusantara mengelola beberapa platform digital yang menyimpan data pelanggan dan transaksi bisnis. Risiko-risiko seperti kegagalan sistem, kebocoran data, dan serangan siber perlu diidentifikasi, dinilai, dan dikelola secara sistematis agar tidak mengganggu keberlangsungan operasional bisnis.</w:t>
      </w:r>
    </w:p>
    <w:p>
      <w:pPr>
        <w:spacing w:line="360" w:lineRule="auto" w:after="120"/>
        <w:ind w:firstLine="709"/>
        <w:jc w:val="both"/>
      </w:pPr>
      <w:r>
        <w:rPr>
          <w:rFonts w:ascii="Times New Roman" w:hAnsi="Times New Roman"/>
          <w:b w:val="0"/>
          <w:i w:val="0"/>
          <w:sz w:val="24"/>
        </w:rPr>
        <w:t>Tujuan pengelolaan risiko di domain ini mencakup:</w:t>
      </w:r>
    </w:p>
    <w:p>
      <w:pPr>
        <w:spacing w:line="360" w:lineRule="auto" w:after="40"/>
        <w:ind w:left="709" w:hanging="283"/>
        <w:jc w:val="both"/>
      </w:pPr>
      <w:r>
        <w:rPr>
          <w:rFonts w:ascii="Times New Roman" w:hAnsi="Times New Roman"/>
          <w:sz w:val="24"/>
        </w:rPr>
        <w:t>• Identifikasi risiko TI yang berpotensi mempengaruhi operasional platform digital</w:t>
      </w:r>
    </w:p>
    <w:p>
      <w:pPr>
        <w:spacing w:line="360" w:lineRule="auto" w:after="40"/>
        <w:ind w:left="709" w:hanging="283"/>
        <w:jc w:val="both"/>
      </w:pPr>
      <w:r>
        <w:rPr>
          <w:rFonts w:ascii="Times New Roman" w:hAnsi="Times New Roman"/>
          <w:sz w:val="24"/>
        </w:rPr>
        <w:t>• Pengumpulan dan analisis data risiko secara efektif</w:t>
      </w:r>
    </w:p>
    <w:p>
      <w:pPr>
        <w:spacing w:line="360" w:lineRule="auto" w:after="40"/>
        <w:ind w:left="709" w:hanging="283"/>
        <w:jc w:val="both"/>
      </w:pPr>
      <w:r>
        <w:rPr>
          <w:rFonts w:ascii="Times New Roman" w:hAnsi="Times New Roman"/>
          <w:sz w:val="24"/>
        </w:rPr>
        <w:t>• Dokumentasi risiko yang terstruktur dan terpelihara</w:t>
      </w:r>
    </w:p>
    <w:p>
      <w:pPr>
        <w:pStyle w:val="Heading3"/>
      </w:pPr>
      <w:r>
        <w:t>2. APO13 — Managed Security (Pengelolaan Keamanan)</w:t>
      </w:r>
    </w:p>
    <w:p>
      <w:pPr>
        <w:spacing w:line="360" w:lineRule="auto" w:after="120"/>
        <w:ind w:firstLine="709"/>
        <w:jc w:val="both"/>
      </w:pPr>
      <w:r>
        <w:rPr>
          <w:rFonts w:ascii="Times New Roman" w:hAnsi="Times New Roman"/>
          <w:b w:val="0"/>
          <w:i w:val="0"/>
          <w:sz w:val="24"/>
        </w:rPr>
        <w:t>Domain APO13 berfokus pada pengelolaan keamanan informasi perusahaan. Sebagai perusahaan yang memiliki platform SaaS dan menyimpan data pelanggan dalam jumlah besar, keamanan informasi menjadi aspek yang sangat kritis. Domain ini dipilih untuk mengevaluasi sejauh mana PT. Murni Solusindo Nusantara telah menerapkan kebijakan dan prosedur keamanan informasi yang memadai.</w:t>
      </w:r>
    </w:p>
    <w:p>
      <w:pPr>
        <w:spacing w:line="360" w:lineRule="auto" w:after="120"/>
        <w:ind w:firstLine="709"/>
        <w:jc w:val="both"/>
      </w:pPr>
      <w:r>
        <w:rPr>
          <w:rFonts w:ascii="Times New Roman" w:hAnsi="Times New Roman"/>
          <w:b w:val="0"/>
          <w:i w:val="0"/>
          <w:sz w:val="24"/>
        </w:rPr>
        <w:t>Aspek keamanan yang dievaluasi meliputi:</w:t>
      </w:r>
    </w:p>
    <w:p>
      <w:pPr>
        <w:spacing w:line="360" w:lineRule="auto" w:after="40"/>
        <w:ind w:left="709" w:hanging="283"/>
        <w:jc w:val="both"/>
      </w:pPr>
      <w:r>
        <w:rPr>
          <w:rFonts w:ascii="Times New Roman" w:hAnsi="Times New Roman"/>
          <w:sz w:val="24"/>
        </w:rPr>
        <w:t>• Kebijakan keamanan informasi yang telah ditetapkan</w:t>
      </w:r>
    </w:p>
    <w:p>
      <w:pPr>
        <w:spacing w:line="360" w:lineRule="auto" w:after="40"/>
        <w:ind w:left="709" w:hanging="283"/>
        <w:jc w:val="both"/>
      </w:pPr>
      <w:r>
        <w:rPr>
          <w:rFonts w:ascii="Times New Roman" w:hAnsi="Times New Roman"/>
          <w:sz w:val="24"/>
        </w:rPr>
        <w:t>• Mekanisme perlindungan terhadap akses tidak sah</w:t>
      </w:r>
    </w:p>
    <w:p>
      <w:pPr>
        <w:spacing w:line="360" w:lineRule="auto" w:after="40"/>
        <w:ind w:left="709" w:hanging="283"/>
        <w:jc w:val="both"/>
      </w:pPr>
      <w:r>
        <w:rPr>
          <w:rFonts w:ascii="Times New Roman" w:hAnsi="Times New Roman"/>
          <w:sz w:val="24"/>
        </w:rPr>
        <w:t>• Sosialisasi dan kesadaran keamanan informasi di seluruh organisasi</w:t>
      </w:r>
    </w:p>
    <w:p>
      <w:pPr>
        <w:pStyle w:val="Heading3"/>
      </w:pPr>
      <w:r>
        <w:t>3. BAI06 — Managed IT Changes (Pengelolaan Perubahan TI)</w:t>
      </w:r>
    </w:p>
    <w:p>
      <w:pPr>
        <w:spacing w:line="360" w:lineRule="auto" w:after="120"/>
        <w:ind w:firstLine="709"/>
        <w:jc w:val="both"/>
      </w:pPr>
      <w:r>
        <w:rPr>
          <w:rFonts w:ascii="Times New Roman" w:hAnsi="Times New Roman"/>
          <w:b w:val="0"/>
          <w:i w:val="0"/>
          <w:sz w:val="24"/>
        </w:rPr>
        <w:t>Domain BAI06 berfokus pada pengelolaan perubahan pada sistem dan infrastruktur TI. Pemilihan domain ini sangat relevan mengingat tim Web Development &amp; SEO di PT. Murni Solusindo Nusantara secara rutin melakukan perubahan pada platform digital, mulai dari pembaruan fitur, perbaikan bug, hingga pembaruan keamanan. Tanpa pengelolaan perubahan yang terstruktur, perubahan yang tidak terkontrol dapat mengakibatkan gangguan pada layanan yang sedang berjalan.</w:t>
      </w:r>
    </w:p>
    <w:p>
      <w:pPr>
        <w:spacing w:line="360" w:lineRule="auto" w:after="120"/>
        <w:ind w:firstLine="709"/>
        <w:jc w:val="both"/>
      </w:pPr>
      <w:r>
        <w:rPr>
          <w:rFonts w:ascii="Times New Roman" w:hAnsi="Times New Roman"/>
          <w:b w:val="0"/>
          <w:i w:val="0"/>
          <w:sz w:val="24"/>
        </w:rPr>
        <w:t>Aspek perubahan TI yang dievaluasi mencakup:</w:t>
      </w:r>
    </w:p>
    <w:p>
      <w:pPr>
        <w:spacing w:line="360" w:lineRule="auto" w:after="40"/>
        <w:ind w:left="709" w:hanging="283"/>
        <w:jc w:val="both"/>
      </w:pPr>
      <w:r>
        <w:rPr>
          <w:rFonts w:ascii="Times New Roman" w:hAnsi="Times New Roman"/>
          <w:sz w:val="24"/>
        </w:rPr>
        <w:t>• Pencatatan dan dokumentasi setiap perubahan sistem</w:t>
      </w:r>
    </w:p>
    <w:p>
      <w:pPr>
        <w:spacing w:line="360" w:lineRule="auto" w:after="40"/>
        <w:ind w:left="709" w:hanging="283"/>
        <w:jc w:val="both"/>
      </w:pPr>
      <w:r>
        <w:rPr>
          <w:rFonts w:ascii="Times New Roman" w:hAnsi="Times New Roman"/>
          <w:sz w:val="24"/>
        </w:rPr>
        <w:t>• Proses persetujuan dan evaluasi dampak sebelum implementasi</w:t>
      </w:r>
    </w:p>
    <w:p>
      <w:pPr>
        <w:spacing w:line="360" w:lineRule="auto" w:after="40"/>
        <w:ind w:left="709" w:hanging="283"/>
        <w:jc w:val="both"/>
      </w:pPr>
      <w:r>
        <w:rPr>
          <w:rFonts w:ascii="Times New Roman" w:hAnsi="Times New Roman"/>
          <w:sz w:val="24"/>
        </w:rPr>
        <w:t>• Evaluasi pasca-implementasi perubahan</w:t>
      </w:r>
    </w:p>
    <w:p>
      <w:pPr>
        <w:pStyle w:val="Heading3"/>
      </w:pPr>
      <w:r>
        <w:t>4. DSS01 — Managed Operations (Pengelolaan Operasional)</w:t>
      </w:r>
    </w:p>
    <w:p>
      <w:pPr>
        <w:spacing w:line="360" w:lineRule="auto" w:after="120"/>
        <w:ind w:firstLine="709"/>
        <w:jc w:val="both"/>
      </w:pPr>
      <w:r>
        <w:rPr>
          <w:rFonts w:ascii="Times New Roman" w:hAnsi="Times New Roman"/>
          <w:b w:val="0"/>
          <w:i w:val="0"/>
          <w:sz w:val="24"/>
        </w:rPr>
        <w:t>Domain DSS01 berfokus pada pengelolaan operasional harian teknologi informasi. Sebagai perusahaan yang mengoperasikan beberapa platform digital secara bersamaan, PT. Murni Solusindo Nusantara membutuhkan operasional TI yang stabil dan termonitor. Domain ini dievaluasi untuk mengukur sejauh mana perusahaan telah mengelola operasional TI-nya secara efektif dan efisien.</w:t>
      </w:r>
    </w:p>
    <w:p>
      <w:pPr>
        <w:spacing w:line="360" w:lineRule="auto" w:after="120"/>
        <w:ind w:firstLine="709"/>
        <w:jc w:val="both"/>
      </w:pPr>
      <w:r>
        <w:rPr>
          <w:rFonts w:ascii="Times New Roman" w:hAnsi="Times New Roman"/>
          <w:b w:val="0"/>
          <w:i w:val="0"/>
          <w:sz w:val="24"/>
        </w:rPr>
        <w:t>Aspek operasional yang dievaluasi meliputi:</w:t>
      </w:r>
    </w:p>
    <w:p>
      <w:pPr>
        <w:spacing w:line="360" w:lineRule="auto" w:after="40"/>
        <w:ind w:left="709" w:hanging="283"/>
        <w:jc w:val="both"/>
      </w:pPr>
      <w:r>
        <w:rPr>
          <w:rFonts w:ascii="Times New Roman" w:hAnsi="Times New Roman"/>
          <w:sz w:val="24"/>
        </w:rPr>
        <w:t>• Pemantauan rutin terhadap kinerja platform digital</w:t>
      </w:r>
    </w:p>
    <w:p>
      <w:pPr>
        <w:spacing w:line="360" w:lineRule="auto" w:after="40"/>
        <w:ind w:left="709" w:hanging="283"/>
        <w:jc w:val="both"/>
      </w:pPr>
      <w:r>
        <w:rPr>
          <w:rFonts w:ascii="Times New Roman" w:hAnsi="Times New Roman"/>
          <w:sz w:val="24"/>
        </w:rPr>
        <w:t>• Prosedur penanganan insiden operasional</w:t>
      </w:r>
    </w:p>
    <w:p>
      <w:pPr>
        <w:spacing w:line="360" w:lineRule="auto" w:after="40"/>
        <w:ind w:left="709" w:hanging="283"/>
        <w:jc w:val="both"/>
      </w:pPr>
      <w:r>
        <w:rPr>
          <w:rFonts w:ascii="Times New Roman" w:hAnsi="Times New Roman"/>
          <w:sz w:val="24"/>
        </w:rPr>
        <w:t>• Jadwal pemeliharaan infrastruktur TI</w:t>
      </w:r>
    </w:p>
    <w:p>
      <w:pPr>
        <w:pStyle w:val="Heading3"/>
      </w:pPr>
      <w:r>
        <w:t>5. DSS05 — Managed Security Services (Pengelolaan Layanan Keamanan)</w:t>
      </w:r>
    </w:p>
    <w:p>
      <w:pPr>
        <w:spacing w:line="360" w:lineRule="auto" w:after="120"/>
        <w:ind w:firstLine="709"/>
        <w:jc w:val="both"/>
      </w:pPr>
      <w:r>
        <w:rPr>
          <w:rFonts w:ascii="Times New Roman" w:hAnsi="Times New Roman"/>
          <w:b w:val="0"/>
          <w:i w:val="0"/>
          <w:sz w:val="24"/>
        </w:rPr>
        <w:t>Domain DSS05 berfokus pada implementasi teknis layanan keamanan TI. Berbeda dengan APO13 yang lebih bersifat kebijakan dan strategis, DSS05 mengevaluasi aspek operasional layanan keamanan seperti perlindungan malware, pengelolaan hak akses, dan pencadangan data. Domain ini dipilih karena platform digital PT. Murni Solusindo Nusantara memerlukan perlindungan keamanan teknis yang handal.</w:t>
      </w:r>
    </w:p>
    <w:p>
      <w:pPr>
        <w:spacing w:line="360" w:lineRule="auto" w:after="120"/>
        <w:ind w:firstLine="709"/>
        <w:jc w:val="both"/>
      </w:pPr>
      <w:r>
        <w:rPr>
          <w:rFonts w:ascii="Times New Roman" w:hAnsi="Times New Roman"/>
          <w:b w:val="0"/>
          <w:i w:val="0"/>
          <w:sz w:val="24"/>
        </w:rPr>
        <w:t>Aspek layanan keamanan yang dievaluasi mencakup:</w:t>
      </w:r>
    </w:p>
    <w:p>
      <w:pPr>
        <w:spacing w:line="360" w:lineRule="auto" w:after="40"/>
        <w:ind w:left="709" w:hanging="283"/>
        <w:jc w:val="both"/>
      </w:pPr>
      <w:r>
        <w:rPr>
          <w:rFonts w:ascii="Times New Roman" w:hAnsi="Times New Roman"/>
          <w:sz w:val="24"/>
        </w:rPr>
        <w:t>• Perlindungan terhadap malware dan ancaman siber</w:t>
      </w:r>
    </w:p>
    <w:p>
      <w:pPr>
        <w:spacing w:line="360" w:lineRule="auto" w:after="40"/>
        <w:ind w:left="709" w:hanging="283"/>
        <w:jc w:val="both"/>
      </w:pPr>
      <w:r>
        <w:rPr>
          <w:rFonts w:ascii="Times New Roman" w:hAnsi="Times New Roman"/>
          <w:sz w:val="24"/>
        </w:rPr>
        <w:t>• Pengelolaan hak akses pengguna (access control)</w:t>
      </w:r>
    </w:p>
    <w:p>
      <w:pPr>
        <w:spacing w:line="360" w:lineRule="auto" w:after="40"/>
        <w:ind w:left="709" w:hanging="283"/>
        <w:jc w:val="both"/>
      </w:pPr>
      <w:r>
        <w:rPr>
          <w:rFonts w:ascii="Times New Roman" w:hAnsi="Times New Roman"/>
          <w:sz w:val="24"/>
        </w:rPr>
        <w:t>• Prosedur pencadangan dan pemulihan data (backup &amp; recovery)</w:t>
      </w:r>
    </w:p>
    <w:p>
      <w:pPr>
        <w:pStyle w:val="Heading3"/>
      </w:pPr>
      <w:r>
        <w:t>RACI Matrix</w:t>
      </w:r>
    </w:p>
    <w:p>
      <w:pPr>
        <w:spacing w:line="360" w:lineRule="auto" w:after="120"/>
        <w:ind w:firstLine="709"/>
        <w:jc w:val="both"/>
      </w:pPr>
      <w:r>
        <w:rPr>
          <w:rFonts w:ascii="Times New Roman" w:hAnsi="Times New Roman"/>
          <w:b w:val="0"/>
          <w:i w:val="0"/>
          <w:sz w:val="24"/>
        </w:rPr>
        <w:t>Dalam pelaksanaan audit ini, disusun RACI Matrix untuk mengidentifikasi peran dan tanggung jawab setiap pihak yang terlibat:</w:t>
      </w:r>
    </w:p>
    <w:tbl>
      <w:tblPr>
        <w:tblStyle w:val="TableGrid"/>
        <w:tblW w:type="auto" w:w="0"/>
        <w:jc w:val="center"/>
        <w:tblLayout w:type="autofit"/>
        <w:tblLook w:firstColumn="1" w:firstRow="1" w:lastColumn="0" w:lastRow="0" w:noHBand="0" w:noVBand="1" w:val="04A0"/>
        <w:tblW w:w="5000" w:type="pct"/>
      </w:tblPr>
      <w:tblGrid>
        <w:gridCol w:w="1174"/>
        <w:gridCol w:w="1174"/>
        <w:gridCol w:w="1174"/>
        <w:gridCol w:w="1174"/>
        <w:gridCol w:w="1174"/>
        <w:gridCol w:w="1174"/>
        <w:gridCol w:w="1174"/>
      </w:tblGrid>
      <w:tr>
        <w:tc>
          <w:tcPr>
            <w:tcW w:type="dxa" w:w="1174"/>
          </w:tcPr>
          <w:p>
            <w:pPr>
              <w:spacing w:line="240" w:lineRule="auto" w:after="40" w:before="40"/>
              <w:jc w:val="center"/>
            </w:pPr>
            <w:r>
              <w:rPr>
                <w:rFonts w:ascii="Times New Roman" w:hAnsi="Times New Roman"/>
                <w:b/>
                <w:sz w:val="20"/>
              </w:rPr>
              <w:t>Aktivitas</w:t>
            </w:r>
          </w:p>
        </w:tc>
        <w:tc>
          <w:tcPr>
            <w:tcW w:type="dxa" w:w="1174"/>
          </w:tcPr>
          <w:p>
            <w:pPr>
              <w:spacing w:line="240" w:lineRule="auto" w:after="40" w:before="40"/>
              <w:jc w:val="center"/>
            </w:pPr>
            <w:r>
              <w:rPr>
                <w:rFonts w:ascii="Times New Roman" w:hAnsi="Times New Roman"/>
                <w:b/>
                <w:sz w:val="20"/>
              </w:rPr>
              <w:t>Kepala IT</w:t>
            </w:r>
          </w:p>
        </w:tc>
        <w:tc>
          <w:tcPr>
            <w:tcW w:type="dxa" w:w="1174"/>
          </w:tcPr>
          <w:p>
            <w:pPr>
              <w:spacing w:line="240" w:lineRule="auto" w:after="40" w:before="40"/>
              <w:jc w:val="center"/>
            </w:pPr>
            <w:r>
              <w:rPr>
                <w:rFonts w:ascii="Times New Roman" w:hAnsi="Times New Roman"/>
                <w:b/>
                <w:sz w:val="20"/>
              </w:rPr>
              <w:t>Web Developer</w:t>
            </w:r>
          </w:p>
        </w:tc>
        <w:tc>
          <w:tcPr>
            <w:tcW w:type="dxa" w:w="1174"/>
          </w:tcPr>
          <w:p>
            <w:pPr>
              <w:spacing w:line="240" w:lineRule="auto" w:after="40" w:before="40"/>
              <w:jc w:val="center"/>
            </w:pPr>
            <w:r>
              <w:rPr>
                <w:rFonts w:ascii="Times New Roman" w:hAnsi="Times New Roman"/>
                <w:b/>
                <w:sz w:val="20"/>
              </w:rPr>
              <w:t>IT Support</w:t>
            </w:r>
          </w:p>
        </w:tc>
        <w:tc>
          <w:tcPr>
            <w:tcW w:type="dxa" w:w="1174"/>
          </w:tcPr>
          <w:p>
            <w:pPr>
              <w:spacing w:line="240" w:lineRule="auto" w:after="40" w:before="40"/>
              <w:jc w:val="center"/>
            </w:pPr>
            <w:r>
              <w:rPr>
                <w:rFonts w:ascii="Times New Roman" w:hAnsi="Times New Roman"/>
                <w:b/>
                <w:sz w:val="20"/>
              </w:rPr>
              <w:t>Digital Marketing</w:t>
            </w:r>
          </w:p>
        </w:tc>
        <w:tc>
          <w:tcPr>
            <w:tcW w:type="dxa" w:w="1174"/>
          </w:tcPr>
          <w:p>
            <w:pPr>
              <w:spacing w:line="240" w:lineRule="auto" w:after="40" w:before="40"/>
              <w:jc w:val="center"/>
            </w:pPr>
            <w:r>
              <w:rPr>
                <w:rFonts w:ascii="Times New Roman" w:hAnsi="Times New Roman"/>
                <w:b/>
                <w:sz w:val="20"/>
              </w:rPr>
              <w:t>Finance</w:t>
            </w:r>
          </w:p>
        </w:tc>
        <w:tc>
          <w:tcPr>
            <w:tcW w:type="dxa" w:w="1174"/>
          </w:tcPr>
          <w:p>
            <w:pPr>
              <w:spacing w:line="240" w:lineRule="auto" w:after="40" w:before="40"/>
              <w:jc w:val="center"/>
            </w:pPr>
            <w:r>
              <w:rPr>
                <w:rFonts w:ascii="Times New Roman" w:hAnsi="Times New Roman"/>
                <w:b/>
                <w:sz w:val="20"/>
              </w:rPr>
              <w:t>HR</w:t>
            </w:r>
          </w:p>
        </w:tc>
      </w:tr>
      <w:tr>
        <w:tc>
          <w:tcPr>
            <w:tcW w:type="dxa" w:w="1174"/>
          </w:tcPr>
          <w:p>
            <w:pPr>
              <w:spacing w:line="240" w:lineRule="auto" w:after="40" w:before="40"/>
              <w:jc w:val="left"/>
            </w:pPr>
            <w:r>
              <w:rPr>
                <w:rFonts w:ascii="Times New Roman" w:hAnsi="Times New Roman"/>
                <w:sz w:val="20"/>
              </w:rPr>
              <w:t>Identifikasi Risiko TI (APO12)</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Penetapan Kebijakan Keamanan (APO13)</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r>
      <w:tr>
        <w:tc>
          <w:tcPr>
            <w:tcW w:type="dxa" w:w="1174"/>
          </w:tcPr>
          <w:p>
            <w:pPr>
              <w:spacing w:line="240" w:lineRule="auto" w:after="40" w:before="40"/>
              <w:jc w:val="left"/>
            </w:pPr>
            <w:r>
              <w:rPr>
                <w:rFonts w:ascii="Times New Roman" w:hAnsi="Times New Roman"/>
                <w:sz w:val="20"/>
              </w:rPr>
              <w:t>Pengelolaan Perubahan TI (BAI06)</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Pemantauan Operasional (DSS01)</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Pengelolaan Layanan Keamanan (DSS05)</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bl>
    <w:p>
      <w:pPr>
        <w:spacing w:after="120"/>
      </w:pPr>
    </w:p>
    <w:p>
      <w:pPr>
        <w:spacing w:line="360" w:lineRule="auto" w:after="120"/>
        <w:ind w:firstLine="709"/>
        <w:jc w:val="both"/>
      </w:pPr>
      <w:r>
        <w:rPr>
          <w:rFonts w:ascii="Times New Roman" w:hAnsi="Times New Roman"/>
          <w:b w:val="0"/>
          <w:i w:val="0"/>
          <w:sz w:val="24"/>
        </w:rPr>
        <w:t>Keterangan:</w:t>
      </w:r>
    </w:p>
    <w:p>
      <w:pPr>
        <w:spacing w:line="360" w:lineRule="auto" w:after="40"/>
        <w:ind w:left="709" w:hanging="283"/>
        <w:jc w:val="both"/>
      </w:pPr>
      <w:r>
        <w:rPr>
          <w:rFonts w:ascii="Times New Roman" w:hAnsi="Times New Roman"/>
          <w:sz w:val="24"/>
        </w:rPr>
        <w:t>• R (Responsible) = Pihak yang melaksanakan tugas/pekerjaan</w:t>
      </w:r>
    </w:p>
    <w:p>
      <w:pPr>
        <w:spacing w:line="360" w:lineRule="auto" w:after="40"/>
        <w:ind w:left="709" w:hanging="283"/>
        <w:jc w:val="both"/>
      </w:pPr>
      <w:r>
        <w:rPr>
          <w:rFonts w:ascii="Times New Roman" w:hAnsi="Times New Roman"/>
          <w:sz w:val="24"/>
        </w:rPr>
        <w:t>• A (Accountable) = Pihak yang bertanggung jawab atas keputusan dan memberikan arahan</w:t>
      </w:r>
    </w:p>
    <w:p>
      <w:pPr>
        <w:spacing w:line="360" w:lineRule="auto" w:after="40"/>
        <w:ind w:left="709" w:hanging="283"/>
        <w:jc w:val="both"/>
      </w:pPr>
      <w:r>
        <w:rPr>
          <w:rFonts w:ascii="Times New Roman" w:hAnsi="Times New Roman"/>
          <w:sz w:val="24"/>
        </w:rPr>
        <w:t>• C (Consulted) = Pihak yang dimintai pendapat/masukan sebelum pengambilan keputusan</w:t>
      </w:r>
    </w:p>
    <w:p>
      <w:pPr>
        <w:spacing w:line="360" w:lineRule="auto" w:after="40"/>
        <w:ind w:left="709" w:hanging="283"/>
        <w:jc w:val="both"/>
      </w:pPr>
      <w:r>
        <w:rPr>
          <w:rFonts w:ascii="Times New Roman" w:hAnsi="Times New Roman"/>
          <w:sz w:val="24"/>
        </w:rPr>
        <w:t>• I (Informed) = Pihak yang diberikan informasi mengenai pelaksanaan aktivitas</w:t>
      </w:r>
    </w:p>
    <w:p>
      <w:pPr>
        <w:pStyle w:val="Heading2"/>
      </w:pPr>
      <w:r>
        <w:t>C. Capability Level dan GAP</w:t>
      </w:r>
    </w:p>
    <w:p>
      <w:pPr>
        <w:pStyle w:val="Heading3"/>
      </w:pPr>
      <w:r>
        <w:t>Metodologi Perhitungan</w:t>
      </w:r>
    </w:p>
    <w:p>
      <w:pPr>
        <w:spacing w:line="360" w:lineRule="auto" w:after="120"/>
        <w:ind w:firstLine="709"/>
        <w:jc w:val="both"/>
      </w:pPr>
      <w:r>
        <w:rPr>
          <w:rFonts w:ascii="Times New Roman" w:hAnsi="Times New Roman"/>
          <w:b w:val="0"/>
          <w:i w:val="0"/>
          <w:sz w:val="24"/>
        </w:rPr>
        <w:t>Perhitungan capability level dalam audit ini dilakukan dengan menggunakan metodologi COBIT 2019 yang terdiri dari langkah-langkah berikut. Pendekatan berbasis kuesioner dengan skala Likert ini sejalan dengan praktik pengukuran tata kelola TI yang banyak digunakan pada penelitian audit sebelumnya (Destriani &amp; Putra, 2023), serta merupakan teknik pengumpulan data yang lazim diterapkan dalam audit sistem informasi untuk menilai kondisi pengendalian secara objektif (Swastika &amp; Putra, 2016):</w:t>
      </w:r>
    </w:p>
    <w:p>
      <w:pPr>
        <w:spacing w:line="360" w:lineRule="auto" w:after="40"/>
        <w:ind w:left="709" w:hanging="283"/>
        <w:jc w:val="both"/>
      </w:pPr>
      <w:r>
        <w:rPr>
          <w:rFonts w:ascii="Times New Roman" w:hAnsi="Times New Roman"/>
          <w:sz w:val="24"/>
        </w:rPr>
        <w:t>1. Menyusun kuesioner dengan skala Likert 1–5 (STS=1, TS=2, R=3, S=4, SS=5) untuk setiap level kapabilitas pada masing-masing domain</w:t>
      </w:r>
    </w:p>
    <w:p>
      <w:pPr>
        <w:spacing w:line="360" w:lineRule="auto" w:after="40"/>
        <w:ind w:left="709" w:hanging="283"/>
        <w:jc w:val="both"/>
      </w:pPr>
      <w:r>
        <w:rPr>
          <w:rFonts w:ascii="Times New Roman" w:hAnsi="Times New Roman"/>
          <w:sz w:val="24"/>
        </w:rPr>
        <w:t>2. Menyebarkan kuesioner kepada 8 responden internal PT. Murni Solusindo Nusantara</w:t>
      </w:r>
    </w:p>
    <w:p>
      <w:pPr>
        <w:spacing w:line="360" w:lineRule="auto" w:after="40"/>
        <w:ind w:left="709" w:hanging="283"/>
        <w:jc w:val="both"/>
      </w:pPr>
      <w:r>
        <w:rPr>
          <w:rFonts w:ascii="Times New Roman" w:hAnsi="Times New Roman"/>
          <w:sz w:val="24"/>
        </w:rPr>
        <w:t>3. Menghitung skor total dan mean untuk setiap pertanyaan</w:t>
      </w:r>
    </w:p>
    <w:p>
      <w:pPr>
        <w:spacing w:line="360" w:lineRule="auto" w:after="40"/>
        <w:ind w:left="709" w:hanging="283"/>
        <w:jc w:val="both"/>
      </w:pPr>
      <w:r>
        <w:rPr>
          <w:rFonts w:ascii="Times New Roman" w:hAnsi="Times New Roman"/>
          <w:sz w:val="24"/>
        </w:rPr>
        <w:t>4. Menghitung persentase ketercapaian: % Ketercapaian = (Mean / Skor Maksimal) × 100%</w:t>
      </w:r>
    </w:p>
    <w:p>
      <w:pPr>
        <w:spacing w:line="360" w:lineRule="auto" w:after="40"/>
        <w:ind w:left="709" w:hanging="283"/>
        <w:jc w:val="both"/>
      </w:pPr>
      <w:r>
        <w:rPr>
          <w:rFonts w:ascii="Times New Roman" w:hAnsi="Times New Roman"/>
          <w:sz w:val="24"/>
        </w:rPr>
        <w:t>5. Menentukan rating berdasarkan persentase ketercapaian (N/P/L/F)</w:t>
      </w:r>
    </w:p>
    <w:p>
      <w:pPr>
        <w:spacing w:line="360" w:lineRule="auto" w:after="40"/>
        <w:ind w:left="709" w:hanging="283"/>
        <w:jc w:val="both"/>
      </w:pPr>
      <w:r>
        <w:rPr>
          <w:rFonts w:ascii="Times New Roman" w:hAnsi="Times New Roman"/>
          <w:sz w:val="24"/>
        </w:rPr>
        <w:t>6. Menentukan capability level berdasarkan rating yang dicapai pada setiap level</w:t>
      </w:r>
    </w:p>
    <w:p>
      <w:pPr>
        <w:spacing w:line="360" w:lineRule="auto" w:after="40"/>
        <w:ind w:left="709" w:hanging="283"/>
        <w:jc w:val="both"/>
      </w:pPr>
      <w:r>
        <w:rPr>
          <w:rFonts w:ascii="Times New Roman" w:hAnsi="Times New Roman"/>
          <w:sz w:val="24"/>
        </w:rPr>
        <w:t>7. Menghitung GAP antara capability level saat ini (as-is) dengan target (to-be)</w:t>
      </w:r>
    </w:p>
    <w:p>
      <w:pPr>
        <w:spacing w:line="360" w:lineRule="auto" w:after="120"/>
        <w:ind w:firstLine="709"/>
        <w:jc w:val="both"/>
      </w:pPr>
      <w:r>
        <w:rPr>
          <w:rFonts w:ascii="Times New Roman" w:hAnsi="Times New Roman"/>
          <w:b w:val="0"/>
          <w:i w:val="0"/>
          <w:sz w:val="24"/>
        </w:rPr>
        <w:t>Alur metodologi penelitian secara visual dapat dilihat pada Gambar 2.1.</w:t>
      </w:r>
    </w:p>
    <w:p>
      <w:pPr>
        <w:spacing w:before="240" w:after="80"/>
        <w:jc w:val="center"/>
      </w:pPr>
      <w:r>
        <w:drawing>
          <wp:inline xmlns:a="http://schemas.openxmlformats.org/drawingml/2006/main" xmlns:pic="http://schemas.openxmlformats.org/drawingml/2006/picture">
            <wp:extent cx="5040000" cy="3335378"/>
            <wp:docPr id="3" name="Picture 3"/>
            <wp:cNvGraphicFramePr>
              <a:graphicFrameLocks noChangeAspect="1"/>
            </wp:cNvGraphicFramePr>
            <a:graphic>
              <a:graphicData uri="http://schemas.openxmlformats.org/drawingml/2006/picture">
                <pic:pic>
                  <pic:nvPicPr>
                    <pic:cNvPr id="0" name="gambar_4_metodologi.png"/>
                    <pic:cNvPicPr/>
                  </pic:nvPicPr>
                  <pic:blipFill>
                    <a:blip r:embed="rId25"/>
                    <a:stretch>
                      <a:fillRect/>
                    </a:stretch>
                  </pic:blipFill>
                  <pic:spPr>
                    <a:xfrm>
                      <a:off x="0" y="0"/>
                      <a:ext cx="5040000" cy="3335378"/>
                    </a:xfrm>
                    <a:prstGeom prst="rect"/>
                  </pic:spPr>
                </pic:pic>
              </a:graphicData>
            </a:graphic>
          </wp:inline>
        </w:drawing>
      </w:r>
    </w:p>
    <w:p>
      <w:pPr>
        <w:spacing w:after="240"/>
        <w:jc w:val="center"/>
      </w:pPr>
      <w:r>
        <w:rPr>
          <w:rFonts w:ascii="Times New Roman" w:hAnsi="Times New Roman"/>
          <w:i/>
          <w:sz w:val="20"/>
        </w:rPr>
        <w:t>Gambar 2.1 — Alur Metodologi Penelitian</w:t>
      </w:r>
    </w:p>
    <w:p>
      <w:pPr>
        <w:pStyle w:val="Heading3"/>
      </w:pPr>
      <w:r>
        <w:t>Hasil Perhitungan Capability Level</w:t>
      </w:r>
    </w:p>
    <w:p>
      <w:pPr>
        <w:spacing w:line="360" w:lineRule="auto" w:before="120" w:after="80"/>
      </w:pPr>
      <w:r>
        <w:rPr>
          <w:rFonts w:ascii="Times New Roman" w:hAnsi="Times New Roman"/>
          <w:b/>
          <w:sz w:val="24"/>
        </w:rPr>
        <w:t>Domain APO12 — Managed Risk</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3.04</w:t>
            </w:r>
          </w:p>
        </w:tc>
        <w:tc>
          <w:tcPr>
            <w:tcW w:type="dxa" w:w="2055"/>
          </w:tcPr>
          <w:p>
            <w:pPr>
              <w:spacing w:line="240" w:lineRule="auto" w:after="40" w:before="40"/>
              <w:jc w:val="left"/>
            </w:pPr>
            <w:r>
              <w:rPr>
                <w:rFonts w:ascii="Times New Roman" w:hAnsi="Times New Roman"/>
                <w:sz w:val="20"/>
              </w:rPr>
              <w:t>60.83%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Hasil perhitungan menunjukkan bahwa proses pengelolaan risiko TI di PT. Murni Solusindo Nusantara telah mencapai Level 2 (Managed Process). Level 1 dan Level 2 memperoleh rating L (Largely Achieved) dengan persentase ketercapaian masing-masing 60.83% dan 51.67%. Namun, Level 3 hanya memperoleh rating P (Partially Achieved) dengan persentase 45.00%, yang mengindikasikan bahwa proses pengelolaan risiko belum sepenuhnya terstandarisasi dan terdokumentasi secara formal.</w:t>
      </w:r>
    </w:p>
    <w:p>
      <w:pPr>
        <w:spacing w:line="360" w:lineRule="auto" w:before="120" w:after="80"/>
      </w:pPr>
      <w:r>
        <w:rPr>
          <w:rFonts w:ascii="Times New Roman" w:hAnsi="Times New Roman"/>
          <w:b/>
          <w:sz w:val="24"/>
        </w:rPr>
        <w:t>Domain APO13 — Managed Security</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3.25</w:t>
            </w:r>
          </w:p>
        </w:tc>
        <w:tc>
          <w:tcPr>
            <w:tcW w:type="dxa" w:w="2055"/>
          </w:tcPr>
          <w:p>
            <w:pPr>
              <w:spacing w:line="240" w:lineRule="auto" w:after="40" w:before="40"/>
              <w:jc w:val="left"/>
            </w:pPr>
            <w:r>
              <w:rPr>
                <w:rFonts w:ascii="Times New Roman" w:hAnsi="Times New Roman"/>
                <w:sz w:val="20"/>
              </w:rPr>
              <w:t>65.00%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2.71</w:t>
            </w:r>
          </w:p>
        </w:tc>
        <w:tc>
          <w:tcPr>
            <w:tcW w:type="dxa" w:w="2055"/>
          </w:tcPr>
          <w:p>
            <w:pPr>
              <w:spacing w:line="240" w:lineRule="auto" w:after="40" w:before="40"/>
              <w:jc w:val="left"/>
            </w:pPr>
            <w:r>
              <w:rPr>
                <w:rFonts w:ascii="Times New Roman" w:hAnsi="Times New Roman"/>
                <w:sz w:val="20"/>
              </w:rPr>
              <w:t>54.17%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keamanan informasi berada pada Level 2 dengan persentase ketercapaian Level 1 sebesar 65.00% dan Level 2 sebesar 54.17%, keduanya mencapai rating L. Level 3 hanya memperoleh 46.67% (rating P), yang menunjukkan bahwa meskipun kebijakan keamanan sudah ada dan mekanisme perlindungan sudah diterapkan, proses keamanan informasi belum sepenuhnya terstandarisasi dengan prosedur formal yang terdokumentasi.</w:t>
      </w:r>
    </w:p>
    <w:p>
      <w:pPr>
        <w:spacing w:line="360" w:lineRule="auto" w:before="120" w:after="80"/>
      </w:pPr>
      <w:r>
        <w:rPr>
          <w:rFonts w:ascii="Times New Roman" w:hAnsi="Times New Roman"/>
          <w:b/>
          <w:sz w:val="24"/>
        </w:rPr>
        <w:t>Domain BAI06 — Managed IT Changes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3.13</w:t>
            </w:r>
          </w:p>
        </w:tc>
        <w:tc>
          <w:tcPr>
            <w:tcW w:type="dxa" w:w="2055"/>
          </w:tcPr>
          <w:p>
            <w:pPr>
              <w:spacing w:line="240" w:lineRule="auto" w:after="40" w:before="40"/>
              <w:jc w:val="left"/>
            </w:pPr>
            <w:r>
              <w:rPr>
                <w:rFonts w:ascii="Times New Roman" w:hAnsi="Times New Roman"/>
                <w:sz w:val="20"/>
              </w:rPr>
              <w:t>62.50%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2.67</w:t>
            </w:r>
          </w:p>
        </w:tc>
        <w:tc>
          <w:tcPr>
            <w:tcW w:type="dxa" w:w="2055"/>
          </w:tcPr>
          <w:p>
            <w:pPr>
              <w:spacing w:line="240" w:lineRule="auto" w:after="40" w:before="40"/>
              <w:jc w:val="left"/>
            </w:pPr>
            <w:r>
              <w:rPr>
                <w:rFonts w:ascii="Times New Roman" w:hAnsi="Times New Roman"/>
                <w:sz w:val="20"/>
              </w:rPr>
              <w:t>53.33%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perubahan TI berada pada Level 2. Pencatatan perubahan dan proses persetujuan sudah dilakukan (Level 1 = 62.50%), dan perencanaan perubahan sudah terstruktur (Level 2 = 53.33%). Namun, prosedur standar change management belum terdokumentasi secara lengkap dan konsisten (Level 3 = 46.67%), sehingga masih terdapat potensi perubahan yang tidak terkontrol.</w:t>
      </w:r>
    </w:p>
    <w:p>
      <w:pPr>
        <w:spacing w:line="360" w:lineRule="auto" w:before="120" w:after="80"/>
      </w:pPr>
      <w:r>
        <w:rPr>
          <w:rFonts w:ascii="Times New Roman" w:hAnsi="Times New Roman"/>
          <w:b/>
          <w:sz w:val="24"/>
        </w:rPr>
        <w:t>Domain DSS01 — Managed Operations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3.33</w:t>
            </w:r>
          </w:p>
        </w:tc>
        <w:tc>
          <w:tcPr>
            <w:tcW w:type="dxa" w:w="2055"/>
          </w:tcPr>
          <w:p>
            <w:pPr>
              <w:spacing w:line="240" w:lineRule="auto" w:after="40" w:before="40"/>
              <w:jc w:val="left"/>
            </w:pPr>
            <w:r>
              <w:rPr>
                <w:rFonts w:ascii="Times New Roman" w:hAnsi="Times New Roman"/>
                <w:sz w:val="20"/>
              </w:rPr>
              <w:t>66.67%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2.79</w:t>
            </w:r>
          </w:p>
        </w:tc>
        <w:tc>
          <w:tcPr>
            <w:tcW w:type="dxa" w:w="2055"/>
          </w:tcPr>
          <w:p>
            <w:pPr>
              <w:spacing w:line="240" w:lineRule="auto" w:after="40" w:before="40"/>
              <w:jc w:val="left"/>
            </w:pPr>
            <w:r>
              <w:rPr>
                <w:rFonts w:ascii="Times New Roman" w:hAnsi="Times New Roman"/>
                <w:sz w:val="20"/>
              </w:rPr>
              <w:t>55.83%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2.42</w:t>
            </w:r>
          </w:p>
        </w:tc>
        <w:tc>
          <w:tcPr>
            <w:tcW w:type="dxa" w:w="2055"/>
          </w:tcPr>
          <w:p>
            <w:pPr>
              <w:spacing w:line="240" w:lineRule="auto" w:after="40" w:before="40"/>
              <w:jc w:val="left"/>
            </w:pPr>
            <w:r>
              <w:rPr>
                <w:rFonts w:ascii="Times New Roman" w:hAnsi="Times New Roman"/>
                <w:sz w:val="20"/>
              </w:rPr>
              <w:t>48.33%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Domain DSS01 memperoleh skor tertinggi di antara kelima domain yang diaudit, dengan Level 1 mencapai 66.67%. Hal ini menunjukkan bahwa PT. Murni Solusindo Nusantara telah menjalankan operasional TI dengan cukup baik, terutama dalam hal pemantauan rutin platform digital dan jadwal pemeliharaan. Meskipun demikian, Level 3 masih berada pada 48.33% (rating P), menandakan bahwa SOP operasional belum sepenuhnya terdokumentasi dan diterapkan secara konsisten.</w:t>
      </w:r>
    </w:p>
    <w:p>
      <w:pPr>
        <w:spacing w:line="360" w:lineRule="auto" w:before="120" w:after="80"/>
      </w:pPr>
      <w:r>
        <w:rPr>
          <w:rFonts w:ascii="Times New Roman" w:hAnsi="Times New Roman"/>
          <w:b/>
          <w:sz w:val="24"/>
        </w:rPr>
        <w:t>Domain DSS05 — Managed Security Services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3.38</w:t>
            </w:r>
          </w:p>
        </w:tc>
        <w:tc>
          <w:tcPr>
            <w:tcW w:type="dxa" w:w="2055"/>
          </w:tcPr>
          <w:p>
            <w:pPr>
              <w:spacing w:line="240" w:lineRule="auto" w:after="40" w:before="40"/>
              <w:jc w:val="left"/>
            </w:pPr>
            <w:r>
              <w:rPr>
                <w:rFonts w:ascii="Times New Roman" w:hAnsi="Times New Roman"/>
                <w:sz w:val="20"/>
              </w:rPr>
              <w:t>67.50%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Domain DSS05 memiliki skor Level 1 tertinggi (67.50%), yang menunjukkan bahwa implementasi teknis layanan keamanan seperti perlindungan malware, pengelolaan hak akses, dan pencadangan data sudah berjalan dengan baik. Namun, pada Level 3 hanya mencapai 45.00%, yang mengindikasikan bahwa prosedur standar pengelolaan layanan keamanan belum terdokumentasi secara formal dan audit keamanan internal belum dilaksanakan secara berkala.</w:t>
      </w:r>
    </w:p>
    <w:p>
      <w:pPr>
        <w:pStyle w:val="Heading3"/>
      </w:pPr>
      <w:r>
        <w:t>Ringkasan Capability Level dan GAP Analysis</w:t>
      </w:r>
    </w:p>
    <w:tbl>
      <w:tblPr>
        <w:tblStyle w:val="TableGrid"/>
        <w:tblW w:type="auto" w:w="0"/>
        <w:jc w:val="center"/>
        <w:tblLayout w:type="autofit"/>
        <w:tblLook w:firstColumn="1" w:firstRow="1" w:lastColumn="0" w:lastRow="0" w:noHBand="0" w:noVBand="1" w:val="04A0"/>
        <w:tblW w:w="5000" w:type="pct"/>
      </w:tblPr>
      <w:tblGrid>
        <w:gridCol w:w="680"/>
        <w:gridCol w:w="1644"/>
        <w:gridCol w:w="1644"/>
        <w:gridCol w:w="1644"/>
        <w:gridCol w:w="1644"/>
      </w:tblGrid>
      <w:tr>
        <w:tc>
          <w:tcPr>
            <w:tcW w:type="dxa" w:w="68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w:t>
            </w:r>
          </w:p>
        </w:tc>
        <w:tc>
          <w:tcPr>
            <w:tcW w:type="dxa" w:w="1644"/>
          </w:tcPr>
          <w:p>
            <w:pPr>
              <w:spacing w:line="240" w:lineRule="auto" w:after="40" w:before="40"/>
              <w:jc w:val="center"/>
            </w:pPr>
            <w:r>
              <w:rPr>
                <w:rFonts w:ascii="Times New Roman" w:hAnsi="Times New Roman"/>
                <w:b/>
                <w:sz w:val="20"/>
              </w:rPr>
              <w:t>Capability Level (As-is)</w:t>
            </w:r>
          </w:p>
        </w:tc>
        <w:tc>
          <w:tcPr>
            <w:tcW w:type="dxa" w:w="1644"/>
          </w:tcPr>
          <w:p>
            <w:pPr>
              <w:spacing w:line="240" w:lineRule="auto" w:after="40" w:before="40"/>
              <w:jc w:val="center"/>
            </w:pPr>
            <w:r>
              <w:rPr>
                <w:rFonts w:ascii="Times New Roman" w:hAnsi="Times New Roman"/>
                <w:b/>
                <w:sz w:val="20"/>
              </w:rPr>
              <w:t>Target Level (To-be)</w:t>
            </w:r>
          </w:p>
        </w:tc>
        <w:tc>
          <w:tcPr>
            <w:tcW w:type="dxa" w:w="1644"/>
          </w:tcPr>
          <w:p>
            <w:pPr>
              <w:spacing w:line="240" w:lineRule="auto" w:after="40" w:before="40"/>
              <w:jc w:val="center"/>
            </w:pPr>
            <w:r>
              <w:rPr>
                <w:rFonts w:ascii="Times New Roman" w:hAnsi="Times New Roman"/>
                <w:b/>
                <w:sz w:val="20"/>
              </w:rPr>
              <w:t>GAP</w:t>
            </w:r>
          </w:p>
        </w:tc>
      </w:tr>
      <w:tr>
        <w:tc>
          <w:tcPr>
            <w:tcW w:type="dxa" w:w="68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APO12 — Managed Risk</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APO13 — Managed Security</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BAI06 — Managed IT Changes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DSS01 — Managed Operations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 Managed Security Services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r>
          </w:p>
        </w:tc>
        <w:tc>
          <w:tcPr>
            <w:tcW w:type="dxa" w:w="1644"/>
          </w:tcPr>
          <w:p>
            <w:pPr>
              <w:spacing w:line="240" w:lineRule="auto" w:after="40" w:before="40"/>
              <w:jc w:val="left"/>
            </w:pPr>
            <w:r>
              <w:rPr>
                <w:rFonts w:ascii="Times New Roman" w:hAnsi="Times New Roman"/>
                <w:sz w:val="20"/>
              </w:rPr>
              <w:t>Rata-rata</w:t>
            </w:r>
          </w:p>
        </w:tc>
        <w:tc>
          <w:tcPr>
            <w:tcW w:type="dxa" w:w="1644"/>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2</w:t>
            </w:r>
          </w:p>
        </w:tc>
      </w:tr>
    </w:tbl>
    <w:p>
      <w:pPr>
        <w:spacing w:after="120"/>
      </w:pPr>
    </w:p>
    <w:p>
      <w:pPr>
        <w:spacing w:line="360" w:lineRule="auto" w:after="120"/>
        <w:ind w:firstLine="709"/>
        <w:jc w:val="both"/>
      </w:pPr>
      <w:r>
        <w:rPr>
          <w:rFonts w:ascii="Times New Roman" w:hAnsi="Times New Roman"/>
          <w:b w:val="0"/>
          <w:i w:val="0"/>
          <w:sz w:val="24"/>
        </w:rPr>
        <w:t xml:space="preserve">Berdasarkan tabel di atas, seluruh domain yang diaudit berada pada </w:t>
      </w:r>
      <w:r>
        <w:rPr>
          <w:rFonts w:ascii="Times New Roman" w:hAnsi="Times New Roman"/>
          <w:b/>
          <w:sz w:val="24"/>
        </w:rPr>
        <w:t>Capability Level 2 (Managed Process)</w:t>
      </w:r>
      <w:r>
        <w:rPr>
          <w:rFonts w:ascii="Times New Roman" w:hAnsi="Times New Roman"/>
          <w:b w:val="0"/>
          <w:i w:val="0"/>
          <w:sz w:val="24"/>
        </w:rPr>
        <w:t>. Kondisi ini menunjukkan bahwa PT. Murni Solusindo Nusantara telah menjalankan proses-proses tata kelola TI dan mencapai tujuan melalui kegiatan dasar yang cukup lengkap. Namun, proses-proses tersebut belum sepenuhnya terstandarisasi, terdokumentasi secara formal, dan diterapkan secara konsisten di seluruh divisi.</w:t>
      </w:r>
    </w:p>
    <w:p>
      <w:pPr>
        <w:spacing w:line="360" w:lineRule="auto" w:after="120"/>
        <w:ind w:firstLine="709"/>
        <w:jc w:val="both"/>
      </w:pPr>
      <w:r>
        <w:rPr>
          <w:rFonts w:ascii="Times New Roman" w:hAnsi="Times New Roman"/>
          <w:b w:val="0"/>
          <w:i w:val="0"/>
          <w:sz w:val="24"/>
        </w:rPr>
        <w:t xml:space="preserve">Target yang ditetapkan adalah </w:t>
      </w:r>
      <w:r>
        <w:rPr>
          <w:rFonts w:ascii="Times New Roman" w:hAnsi="Times New Roman"/>
          <w:b/>
          <w:sz w:val="24"/>
        </w:rPr>
        <w:t>Level 4 (Predictable Process)</w:t>
      </w:r>
      <w:r>
        <w:rPr>
          <w:rFonts w:ascii="Times New Roman" w:hAnsi="Times New Roman"/>
          <w:b w:val="0"/>
          <w:i w:val="0"/>
          <w:sz w:val="24"/>
        </w:rPr>
        <w:t xml:space="preserve">, di mana proses tata kelola TI diharapkan sudah terdefinisi dengan baik, kinerjanya dapat diukur secara kuantitatif, dan hasilnya dapat diprediksi. Sehingga terdapat kesenjangan (GAP) sebesar </w:t>
      </w:r>
      <w:r>
        <w:rPr>
          <w:rFonts w:ascii="Times New Roman" w:hAnsi="Times New Roman"/>
          <w:b/>
          <w:sz w:val="24"/>
        </w:rPr>
        <w:t>2 level</w:t>
      </w:r>
      <w:r>
        <w:rPr>
          <w:rFonts w:ascii="Times New Roman" w:hAnsi="Times New Roman"/>
          <w:b w:val="0"/>
          <w:i w:val="0"/>
          <w:sz w:val="24"/>
        </w:rPr>
        <w:t xml:space="preserve"> yang perlu dijembatani melalui serangkaian perbaikan terstruktur.</w:t>
      </w:r>
    </w:p>
    <w:p>
      <w:pPr>
        <w:spacing w:line="360" w:lineRule="auto" w:after="120"/>
        <w:ind w:firstLine="709"/>
        <w:jc w:val="both"/>
      </w:pPr>
      <w:r>
        <w:rPr>
          <w:rFonts w:ascii="Times New Roman" w:hAnsi="Times New Roman"/>
          <w:b w:val="0"/>
          <w:i w:val="0"/>
          <w:sz w:val="24"/>
        </w:rPr>
        <w:t>Visualisasi hasil capability level dan GAP analysis dapat dilihat pada gambar berikut:</w:t>
      </w:r>
    </w:p>
    <w:p>
      <w:pPr>
        <w:spacing w:before="240" w:after="80"/>
        <w:jc w:val="center"/>
      </w:pPr>
      <w:r>
        <w:drawing>
          <wp:inline xmlns:a="http://schemas.openxmlformats.org/drawingml/2006/main" xmlns:pic="http://schemas.openxmlformats.org/drawingml/2006/picture">
            <wp:extent cx="4680000" cy="4220966"/>
            <wp:docPr id="4" name="Picture 4"/>
            <wp:cNvGraphicFramePr>
              <a:graphicFrameLocks noChangeAspect="1"/>
            </wp:cNvGraphicFramePr>
            <a:graphic>
              <a:graphicData uri="http://schemas.openxmlformats.org/drawingml/2006/picture">
                <pic:pic>
                  <pic:nvPicPr>
                    <pic:cNvPr id="0" name="gambar_1_radar_capability.png"/>
                    <pic:cNvPicPr/>
                  </pic:nvPicPr>
                  <pic:blipFill>
                    <a:blip r:embed="rId26"/>
                    <a:stretch>
                      <a:fillRect/>
                    </a:stretch>
                  </pic:blipFill>
                  <pic:spPr>
                    <a:xfrm>
                      <a:off x="0" y="0"/>
                      <a:ext cx="4680000" cy="4220966"/>
                    </a:xfrm>
                    <a:prstGeom prst="rect"/>
                  </pic:spPr>
                </pic:pic>
              </a:graphicData>
            </a:graphic>
          </wp:inline>
        </w:drawing>
      </w:r>
    </w:p>
    <w:p>
      <w:pPr>
        <w:spacing w:after="240"/>
        <w:jc w:val="center"/>
      </w:pPr>
      <w:r>
        <w:rPr>
          <w:rFonts w:ascii="Times New Roman" w:hAnsi="Times New Roman"/>
          <w:i/>
          <w:sz w:val="20"/>
        </w:rPr>
        <w:t>Gambar 2.2 — Radar Chart Capability Level 5 Domain COBIT 2019</w:t>
      </w:r>
    </w:p>
    <w:p>
      <w:pPr>
        <w:spacing w:before="240" w:after="80"/>
        <w:jc w:val="center"/>
      </w:pPr>
      <w:r>
        <w:drawing>
          <wp:inline xmlns:a="http://schemas.openxmlformats.org/drawingml/2006/main" xmlns:pic="http://schemas.openxmlformats.org/drawingml/2006/picture">
            <wp:extent cx="5040000" cy="3146802"/>
            <wp:docPr id="5" name="Picture 5"/>
            <wp:cNvGraphicFramePr>
              <a:graphicFrameLocks noChangeAspect="1"/>
            </wp:cNvGraphicFramePr>
            <a:graphic>
              <a:graphicData uri="http://schemas.openxmlformats.org/drawingml/2006/picture">
                <pic:pic>
                  <pic:nvPicPr>
                    <pic:cNvPr id="0" name="gambar_2_gap_analysis.png"/>
                    <pic:cNvPicPr/>
                  </pic:nvPicPr>
                  <pic:blipFill>
                    <a:blip r:embed="rId27"/>
                    <a:stretch>
                      <a:fillRect/>
                    </a:stretch>
                  </pic:blipFill>
                  <pic:spPr>
                    <a:xfrm>
                      <a:off x="0" y="0"/>
                      <a:ext cx="5040000" cy="3146802"/>
                    </a:xfrm>
                    <a:prstGeom prst="rect"/>
                  </pic:spPr>
                </pic:pic>
              </a:graphicData>
            </a:graphic>
          </wp:inline>
        </w:drawing>
      </w:r>
    </w:p>
    <w:p>
      <w:pPr>
        <w:spacing w:after="240"/>
        <w:jc w:val="center"/>
      </w:pPr>
      <w:r>
        <w:rPr>
          <w:rFonts w:ascii="Times New Roman" w:hAnsi="Times New Roman"/>
          <w:i/>
          <w:sz w:val="20"/>
        </w:rPr>
        <w:t>Gambar 2.3 — GAP Analysis — As-is vs To-be per Domain</w:t>
      </w:r>
    </w:p>
    <w:p>
      <w:pPr>
        <w:spacing w:before="240" w:after="80"/>
        <w:jc w:val="center"/>
      </w:pPr>
      <w:r>
        <w:drawing>
          <wp:inline xmlns:a="http://schemas.openxmlformats.org/drawingml/2006/main" xmlns:pic="http://schemas.openxmlformats.org/drawingml/2006/picture">
            <wp:extent cx="5040000" cy="3077949"/>
            <wp:docPr id="6" name="Picture 6"/>
            <wp:cNvGraphicFramePr>
              <a:graphicFrameLocks noChangeAspect="1"/>
            </wp:cNvGraphicFramePr>
            <a:graphic>
              <a:graphicData uri="http://schemas.openxmlformats.org/drawingml/2006/picture">
                <pic:pic>
                  <pic:nvPicPr>
                    <pic:cNvPr id="0" name="gambar_3_ketercapaian.png"/>
                    <pic:cNvPicPr/>
                  </pic:nvPicPr>
                  <pic:blipFill>
                    <a:blip r:embed="rId28"/>
                    <a:stretch>
                      <a:fillRect/>
                    </a:stretch>
                  </pic:blipFill>
                  <pic:spPr>
                    <a:xfrm>
                      <a:off x="0" y="0"/>
                      <a:ext cx="5040000" cy="3077949"/>
                    </a:xfrm>
                    <a:prstGeom prst="rect"/>
                  </pic:spPr>
                </pic:pic>
              </a:graphicData>
            </a:graphic>
          </wp:inline>
        </w:drawing>
      </w:r>
    </w:p>
    <w:p>
      <w:pPr>
        <w:spacing w:after="240"/>
        <w:jc w:val="center"/>
      </w:pPr>
      <w:r>
        <w:rPr>
          <w:rFonts w:ascii="Times New Roman" w:hAnsi="Times New Roman"/>
          <w:i/>
          <w:sz w:val="20"/>
        </w:rPr>
        <w:t>Gambar 2.4 — Persentase Ketercapaian per Level per Domain</w:t>
      </w:r>
    </w:p>
    <w:p>
      <w:pPr>
        <w:pStyle w:val="Heading3"/>
      </w:pPr>
      <w:r>
        <w:t>Rekomendasi Perbaikan</w:t>
      </w:r>
    </w:p>
    <w:p>
      <w:pPr>
        <w:spacing w:line="360" w:lineRule="auto" w:after="120"/>
        <w:ind w:firstLine="709"/>
        <w:jc w:val="both"/>
      </w:pPr>
      <w:r>
        <w:rPr>
          <w:rFonts w:ascii="Times New Roman" w:hAnsi="Times New Roman"/>
          <w:b w:val="0"/>
          <w:i w:val="0"/>
          <w:sz w:val="24"/>
        </w:rPr>
        <w:t>Berdasarkan hasil analisis GAP, berikut adalah rekomendasi perbaikan untuk masing-masing domain:</w:t>
      </w:r>
    </w:p>
    <w:p>
      <w:pPr>
        <w:spacing w:line="360" w:lineRule="auto" w:before="120" w:after="80"/>
      </w:pPr>
      <w:r>
        <w:rPr>
          <w:rFonts w:ascii="Times New Roman" w:hAnsi="Times New Roman"/>
          <w:b/>
          <w:sz w:val="24"/>
        </w:rPr>
        <w:t>1. APO12 — Managed Risk</w:t>
      </w:r>
    </w:p>
    <w:p>
      <w:pPr>
        <w:spacing w:line="360" w:lineRule="auto" w:after="120"/>
        <w:ind w:firstLine="709"/>
        <w:jc w:val="both"/>
      </w:pPr>
      <w:r>
        <w:rPr>
          <w:rFonts w:ascii="Times New Roman" w:hAnsi="Times New Roman"/>
          <w:b w:val="0"/>
          <w:i w:val="0"/>
          <w:sz w:val="24"/>
        </w:rPr>
        <w:t>Untuk meningkatkan capability level dari Level 2 ke Level 4, PT. Murni Solusindo Nusantara perlu:</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dan mendokumentasikan kebijakan manajemen risiko TI secara formal dalam bentuk dokumen tertulis yang disahkan oleh manajemen</w:t>
      </w:r>
    </w:p>
    <w:p>
      <w:pPr>
        <w:spacing w:line="360" w:lineRule="auto" w:after="40"/>
        <w:ind w:left="709" w:hanging="283"/>
        <w:jc w:val="both"/>
      </w:pPr>
      <w:r>
        <w:rPr>
          <w:rFonts w:ascii="Times New Roman" w:hAnsi="Times New Roman"/>
          <w:sz w:val="24"/>
        </w:rPr>
        <w:t>• Membuat risk register yang komprehensif, mencakup seluruh risiko TI teridentifikasi beserta tingkat dampak dan probabilitasnya</w:t>
      </w:r>
    </w:p>
    <w:p>
      <w:pPr>
        <w:spacing w:line="360" w:lineRule="auto" w:after="40"/>
        <w:ind w:left="709" w:hanging="283"/>
        <w:jc w:val="both"/>
      </w:pPr>
      <w:r>
        <w:rPr>
          <w:rFonts w:ascii="Times New Roman" w:hAnsi="Times New Roman"/>
          <w:sz w:val="24"/>
        </w:rPr>
        <w:t>• Mensosialisasikan prosedur manajemen risiko kepada seluruh divisi terkait</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Menetapkan indikator kinerja utama (KPI) untuk mengukur efektivitas manajemen risiko secara kuantitatif</w:t>
      </w:r>
    </w:p>
    <w:p>
      <w:pPr>
        <w:spacing w:line="360" w:lineRule="auto" w:after="40"/>
        <w:ind w:left="709" w:hanging="283"/>
        <w:jc w:val="both"/>
      </w:pPr>
      <w:r>
        <w:rPr>
          <w:rFonts w:ascii="Times New Roman" w:hAnsi="Times New Roman"/>
          <w:sz w:val="24"/>
        </w:rPr>
        <w:t>• Menetapkan jadwal evaluasi risiko secara berkala (minimal per kuartal) dengan format pelaporan yang terstandar</w:t>
      </w:r>
    </w:p>
    <w:p>
      <w:pPr>
        <w:spacing w:line="360" w:lineRule="auto" w:after="40"/>
        <w:ind w:left="709" w:hanging="283"/>
        <w:jc w:val="both"/>
      </w:pPr>
      <w:r>
        <w:rPr>
          <w:rFonts w:ascii="Times New Roman" w:hAnsi="Times New Roman"/>
          <w:sz w:val="24"/>
        </w:rPr>
        <w:t>• Menunjuk penanggung jawab (risk owner) untuk setiap risiko yang teridentifikasi dan memonitor perkembangannya secara kontinu</w:t>
      </w:r>
    </w:p>
    <w:p>
      <w:pPr>
        <w:spacing w:line="360" w:lineRule="auto" w:before="120" w:after="80"/>
      </w:pPr>
      <w:r>
        <w:rPr>
          <w:rFonts w:ascii="Times New Roman" w:hAnsi="Times New Roman"/>
          <w:b/>
          <w:sz w:val="24"/>
        </w:rPr>
        <w:t>2. APO13 — Managed Security</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prosedur standar keamanan informasi yang terdokumentasi dan disahkan oleh manajemen</w:t>
      </w:r>
    </w:p>
    <w:p>
      <w:pPr>
        <w:spacing w:line="360" w:lineRule="auto" w:after="40"/>
        <w:ind w:left="709" w:hanging="283"/>
        <w:jc w:val="both"/>
      </w:pPr>
      <w:r>
        <w:rPr>
          <w:rFonts w:ascii="Times New Roman" w:hAnsi="Times New Roman"/>
          <w:sz w:val="24"/>
        </w:rPr>
        <w:t>• Menyelenggarakan program pelatihan keamanan informasi secara rutin bagi seluruh karyawan (minimal 2 kali per tahun)</w:t>
      </w:r>
    </w:p>
    <w:p>
      <w:pPr>
        <w:spacing w:line="360" w:lineRule="auto" w:after="40"/>
        <w:ind w:left="709" w:hanging="283"/>
        <w:jc w:val="both"/>
      </w:pPr>
      <w:r>
        <w:rPr>
          <w:rFonts w:ascii="Times New Roman" w:hAnsi="Times New Roman"/>
          <w:sz w:val="24"/>
        </w:rPr>
        <w:t>• Menerapkan framework keamanan yang terintegrasi di seluruh platform digital perusahaan</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metrik keamanan yang terukur untuk memonitor tingkat keamanan informasi secara kuantitatif</w:t>
      </w:r>
    </w:p>
    <w:p>
      <w:pPr>
        <w:spacing w:line="360" w:lineRule="auto" w:after="40"/>
        <w:ind w:left="709" w:hanging="283"/>
        <w:jc w:val="both"/>
      </w:pPr>
      <w:r>
        <w:rPr>
          <w:rFonts w:ascii="Times New Roman" w:hAnsi="Times New Roman"/>
          <w:sz w:val="24"/>
        </w:rPr>
        <w:t>• Melakukan penilaian kerentanan (vulnerability assessment) secara terjadwal pada seluruh platform digital</w:t>
      </w:r>
    </w:p>
    <w:p>
      <w:pPr>
        <w:spacing w:line="360" w:lineRule="auto" w:after="40"/>
        <w:ind w:left="709" w:hanging="283"/>
        <w:jc w:val="both"/>
      </w:pPr>
      <w:r>
        <w:rPr>
          <w:rFonts w:ascii="Times New Roman" w:hAnsi="Times New Roman"/>
          <w:sz w:val="24"/>
        </w:rPr>
        <w:t>• Mengimplementasikan sistem deteksi dan respons insiden keamanan secara otomatis</w:t>
      </w:r>
    </w:p>
    <w:p>
      <w:pPr>
        <w:spacing w:line="360" w:lineRule="auto" w:before="120" w:after="80"/>
      </w:pPr>
      <w:r>
        <w:rPr>
          <w:rFonts w:ascii="Times New Roman" w:hAnsi="Times New Roman"/>
          <w:b/>
          <w:sz w:val="24"/>
        </w:rPr>
        <w:t>3. BAI06 — Managed IT Changes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SOP change management yang formal, mencakup alur persetujuan, pelaksanaan, dan evaluasi</w:t>
      </w:r>
    </w:p>
    <w:p>
      <w:pPr>
        <w:spacing w:line="360" w:lineRule="auto" w:after="40"/>
        <w:ind w:left="709" w:hanging="283"/>
        <w:jc w:val="both"/>
      </w:pPr>
      <w:r>
        <w:rPr>
          <w:rFonts w:ascii="Times New Roman" w:hAnsi="Times New Roman"/>
          <w:sz w:val="24"/>
        </w:rPr>
        <w:t>• Menerapkan proses persetujuan berjenjang (approval workflow) untuk setiap perubahan sistem TI</w:t>
      </w:r>
    </w:p>
    <w:p>
      <w:pPr>
        <w:spacing w:line="360" w:lineRule="auto" w:after="40"/>
        <w:ind w:left="709" w:hanging="283"/>
        <w:jc w:val="both"/>
      </w:pPr>
      <w:r>
        <w:rPr>
          <w:rFonts w:ascii="Times New Roman" w:hAnsi="Times New Roman"/>
          <w:sz w:val="24"/>
        </w:rPr>
        <w:t>• Membuat change log yang komprehensif dan terintegrasi dengan sistem manajemen proyek</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Melaksanakan post-implementation review (PIR) secara konsisten untuk setiap perubahan yang dilakukan</w:t>
      </w:r>
    </w:p>
    <w:p>
      <w:pPr>
        <w:spacing w:line="360" w:lineRule="auto" w:after="40"/>
        <w:ind w:left="709" w:hanging="283"/>
        <w:jc w:val="both"/>
      </w:pPr>
      <w:r>
        <w:rPr>
          <w:rFonts w:ascii="Times New Roman" w:hAnsi="Times New Roman"/>
          <w:sz w:val="24"/>
        </w:rPr>
        <w:t>• Menetapkan metrik pengukuran keberhasilan perubahan yang terukur (misalnya: persentase perubahan yang berhasil, waktu penyelesaian perubahan)</w:t>
      </w:r>
    </w:p>
    <w:p>
      <w:pPr>
        <w:spacing w:line="360" w:lineRule="auto" w:after="40"/>
        <w:ind w:left="709" w:hanging="283"/>
        <w:jc w:val="both"/>
      </w:pPr>
      <w:r>
        <w:rPr>
          <w:rFonts w:ascii="Times New Roman" w:hAnsi="Times New Roman"/>
          <w:sz w:val="24"/>
        </w:rPr>
        <w:t>• Mengimplementasikan alat manajemen perubahan otomatis yang terintegrasi dengan sistem version control</w:t>
      </w:r>
    </w:p>
    <w:p>
      <w:pPr>
        <w:spacing w:line="360" w:lineRule="auto" w:before="120" w:after="80"/>
      </w:pPr>
      <w:r>
        <w:rPr>
          <w:rFonts w:ascii="Times New Roman" w:hAnsi="Times New Roman"/>
          <w:b/>
          <w:sz w:val="24"/>
        </w:rPr>
        <w:t>4. DSS01 — Managed Operations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SOP operasional TI yang lengkap dan mendistribusikannya ke seluruh divisi yang relevan</w:t>
      </w:r>
    </w:p>
    <w:p>
      <w:pPr>
        <w:spacing w:line="360" w:lineRule="auto" w:after="40"/>
        <w:ind w:left="709" w:hanging="283"/>
        <w:jc w:val="both"/>
      </w:pPr>
      <w:r>
        <w:rPr>
          <w:rFonts w:ascii="Times New Roman" w:hAnsi="Times New Roman"/>
          <w:sz w:val="24"/>
        </w:rPr>
        <w:t>• Menstandarisasi prosedur penanganan insiden operasional dengan alur eskalasi yang jelas</w:t>
      </w:r>
    </w:p>
    <w:p>
      <w:pPr>
        <w:spacing w:line="360" w:lineRule="auto" w:after="40"/>
        <w:ind w:left="709" w:hanging="283"/>
        <w:jc w:val="both"/>
      </w:pPr>
      <w:r>
        <w:rPr>
          <w:rFonts w:ascii="Times New Roman" w:hAnsi="Times New Roman"/>
          <w:sz w:val="24"/>
        </w:rPr>
        <w:t>• Mengembangkan mekanisme feedback terstruktur dari pengguna internal dan eksternal</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alat monitoring otomatis untuk memantau kinerja platform digital secara real-time</w:t>
      </w:r>
    </w:p>
    <w:p>
      <w:pPr>
        <w:spacing w:line="360" w:lineRule="auto" w:after="40"/>
        <w:ind w:left="709" w:hanging="283"/>
        <w:jc w:val="both"/>
      </w:pPr>
      <w:r>
        <w:rPr>
          <w:rFonts w:ascii="Times New Roman" w:hAnsi="Times New Roman"/>
          <w:sz w:val="24"/>
        </w:rPr>
        <w:t>• Menetapkan Service Level Agreement (SLA) internal untuk setiap layanan TI yang disediakan</w:t>
      </w:r>
    </w:p>
    <w:p>
      <w:pPr>
        <w:spacing w:line="360" w:lineRule="auto" w:after="40"/>
        <w:ind w:left="709" w:hanging="283"/>
        <w:jc w:val="both"/>
      </w:pPr>
      <w:r>
        <w:rPr>
          <w:rFonts w:ascii="Times New Roman" w:hAnsi="Times New Roman"/>
          <w:sz w:val="24"/>
        </w:rPr>
        <w:t>• Menetapkan dan memonitor KPI operasional TI secara berkala, seperti uptime platform, mean time to repair (MTTR), dan mean time between failures (MTBF)</w:t>
      </w:r>
    </w:p>
    <w:p>
      <w:pPr>
        <w:spacing w:line="360" w:lineRule="auto" w:before="120" w:after="80"/>
      </w:pPr>
      <w:r>
        <w:rPr>
          <w:rFonts w:ascii="Times New Roman" w:hAnsi="Times New Roman"/>
          <w:b/>
          <w:sz w:val="24"/>
        </w:rPr>
        <w:t>5. DSS05 — Managed Security Services</w:t>
      </w:r>
    </w:p>
    <w:p>
      <w:pPr>
        <w:spacing w:line="360" w:lineRule="auto" w:after="120"/>
        <w:ind w:firstLine="709"/>
        <w:jc w:val="both"/>
      </w:pPr>
      <w:r>
        <w:rPr>
          <w:rFonts w:ascii="Times New Roman" w:hAnsi="Times New Roman"/>
          <w:b w:val="0"/>
          <w:i w:val="0"/>
          <w:sz w:val="24"/>
        </w:rPr>
        <w:t>Untuk meningkatkan capability level dari Level 2 ke Level 4:</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prosedur standar pengelolaan layanan keamanan TI yang terdokumentasi secara formal</w:t>
      </w:r>
    </w:p>
    <w:p>
      <w:pPr>
        <w:spacing w:line="360" w:lineRule="auto" w:after="40"/>
        <w:ind w:left="709" w:hanging="283"/>
        <w:jc w:val="both"/>
      </w:pPr>
      <w:r>
        <w:rPr>
          <w:rFonts w:ascii="Times New Roman" w:hAnsi="Times New Roman"/>
          <w:sz w:val="24"/>
        </w:rPr>
        <w:t>• Menerapkan standar keamanan yang konsisten di seluruh platform digital perusahaan</w:t>
      </w:r>
    </w:p>
    <w:p>
      <w:pPr>
        <w:spacing w:line="360" w:lineRule="auto" w:after="40"/>
        <w:ind w:left="709" w:hanging="283"/>
        <w:jc w:val="both"/>
      </w:pPr>
      <w:r>
        <w:rPr>
          <w:rFonts w:ascii="Times New Roman" w:hAnsi="Times New Roman"/>
          <w:sz w:val="24"/>
        </w:rPr>
        <w:t>• Menjadwalkan audit keamanan internal secara periodik (minimal 2 kali per tahun)</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Menerapkan sistem pelaporan insiden keamanan otomatis dengan ticketing system yang terstruktur</w:t>
      </w:r>
    </w:p>
    <w:p>
      <w:pPr>
        <w:spacing w:line="360" w:lineRule="auto" w:after="40"/>
        <w:ind w:left="709" w:hanging="283"/>
        <w:jc w:val="both"/>
      </w:pPr>
      <w:r>
        <w:rPr>
          <w:rFonts w:ascii="Times New Roman" w:hAnsi="Times New Roman"/>
          <w:sz w:val="24"/>
        </w:rPr>
        <w:t>• Menetapkan metrik keamanan yang terukur, seperti jumlah insiden keamanan per periode, waktu respons insiden, dan tingkat keberhasilan pemulihan</w:t>
      </w:r>
    </w:p>
    <w:p>
      <w:pPr>
        <w:spacing w:line="360" w:lineRule="auto" w:after="40"/>
        <w:ind w:left="709" w:hanging="283"/>
        <w:jc w:val="both"/>
      </w:pPr>
      <w:r>
        <w:rPr>
          <w:rFonts w:ascii="Times New Roman" w:hAnsi="Times New Roman"/>
          <w:sz w:val="24"/>
        </w:rPr>
        <w:t>• Melakukan penetration testing secara berkala untuk menguji ketahanan platform digital terhadap ancaman siber</w:t>
      </w:r>
    </w:p>
    <w:p>
      <w:pPr>
        <w:sectPr>
          <w:footerReference w:type="first" r:id="rId21"/>
          <w:headerReference w:type="first" r:id="rId22"/>
          <w:headerReference w:type="default" r:id="rId23"/>
          <w:footerReference w:type="default" r:id="rId24"/>
          <w:pgSz w:w="11906" w:h="16838"/>
          <w:pgMar w:top="1701" w:right="1417" w:bottom="1417" w:left="2268" w:header="709" w:footer="170" w:gutter="0"/>
          <w:cols w:space="720"/>
          <w:titlePg/>
          <w:docGrid w:linePitch="360"/>
        </w:sectPr>
      </w:pPr>
    </w:p>
    <w:p>
      <w:pPr>
        <w:spacing w:line="360" w:lineRule="auto" w:after="0"/>
        <w:jc w:val="center"/>
      </w:pPr>
      <w:r>
        <w:rPr>
          <w:rFonts w:ascii="Times New Roman" w:hAnsi="Times New Roman"/>
          <w:b/>
          <w:sz w:val="28"/>
        </w:rPr>
        <w:t>BAB III</w:t>
      </w:r>
    </w:p>
    <w:p>
      <w:pPr>
        <w:spacing w:line="360" w:lineRule="auto" w:after="480"/>
        <w:jc w:val="center"/>
      </w:pPr>
      <w:r>
        <w:rPr>
          <w:rFonts w:ascii="Times New Roman" w:hAnsi="Times New Roman"/>
          <w:b/>
          <w:sz w:val="28"/>
        </w:rPr>
        <w:t>PENUTUP</w:t>
      </w:r>
    </w:p>
    <w:p>
      <w:pPr>
        <w:pStyle w:val="Heading2"/>
      </w:pPr>
      <w:r>
        <w:t>A. Kesimpulan</w:t>
      </w:r>
    </w:p>
    <w:p>
      <w:pPr>
        <w:spacing w:line="360" w:lineRule="auto" w:after="120"/>
        <w:ind w:firstLine="709"/>
        <w:jc w:val="both"/>
      </w:pPr>
      <w:r>
        <w:rPr>
          <w:rFonts w:ascii="Times New Roman" w:hAnsi="Times New Roman"/>
          <w:b w:val="0"/>
          <w:i w:val="0"/>
          <w:sz w:val="24"/>
        </w:rPr>
        <w:t>Berdasarkan hasil pelaksanaan audit sistem informasi pada PT. Murni Solusindo Nusantara menggunakan framework COBIT 2019 terhadap lima domain yang telah ditentukan, dapat disimpulkan hal-hal sebagai berikut:</w:t>
      </w:r>
    </w:p>
    <w:p>
      <w:pPr>
        <w:spacing w:line="360" w:lineRule="auto" w:after="40"/>
        <w:ind w:left="709" w:hanging="283"/>
        <w:jc w:val="both"/>
      </w:pPr>
      <w:r>
        <w:rPr>
          <w:rFonts w:ascii="Times New Roman" w:hAnsi="Times New Roman"/>
          <w:sz w:val="24"/>
        </w:rPr>
        <w:t>1. Tingkat Kapabilitas Tata Kelola TI. Seluruh domain yang diaudit berada pada Capability Level 2 (Managed Process). Kondisi ini menunjukkan bahwa PT. Murni Solusindo Nusantara telah menjalankan proses-proses tata kelola teknologi informasi dan mencapai tujuan melalui serangkaian kegiatan dasar yang cukup lengkap. Proses-proses tersebut sudah direncanakan, dipantau, dan dilaporkan, namun belum sepenuhnya terstandarisasi dan terdokumentasi secara formal dalam prosedur yang baku.</w:t>
      </w:r>
    </w:p>
    <w:p>
      <w:pPr>
        <w:spacing w:line="360" w:lineRule="auto" w:after="40"/>
        <w:ind w:left="709" w:hanging="283"/>
        <w:jc w:val="both"/>
      </w:pPr>
      <w:r>
        <w:rPr>
          <w:rFonts w:ascii="Times New Roman" w:hAnsi="Times New Roman"/>
          <w:sz w:val="24"/>
        </w:rPr>
        <w:t>2. Analisis Per Domain. Dari kelima domain yang diaudit, domain DSS05 (Managed Security Services) dan DSS01 (Managed Operations) memperoleh skor Level 1 tertinggi dengan persentase ketercapaian masing-masing 67.50% dan 66.67%. Hal ini mengindikasikan bahwa PT. Murni Solusindo Nusantara telah memiliki fondasi layanan keamanan dan operasional yang relatif baik. Di sisi lain, domain APO12 (Managed Risk) dan DSS05 (Managed Security Services) memperoleh skor Level 3 terendah yang sama (45.00%), yang menandakan bahwa aspek standarisasi dan dokumentasi formal pada kedua domain tersebut masih memerlukan perhatian khusus.</w:t>
      </w:r>
    </w:p>
    <w:p>
      <w:pPr>
        <w:spacing w:line="360" w:lineRule="auto" w:after="40"/>
        <w:ind w:left="709" w:hanging="283"/>
        <w:jc w:val="both"/>
      </w:pPr>
      <w:r>
        <w:rPr>
          <w:rFonts w:ascii="Times New Roman" w:hAnsi="Times New Roman"/>
          <w:sz w:val="24"/>
        </w:rPr>
        <w:t>3. Kesenjangan (GAP). Terdapat kesenjangan (GAP) sebesar 2 level pada setiap domain antara kondisi saat ini (as-is Level 2) dengan kondisi yang diharapkan (to-be Level 4). Kesenjangan terbesar terlihat pada aspek standardisasi prosedur, dokumentasi formal, dan pengukuran kinerja secara kuantitatif yang belum diterapkan secara konsisten.</w:t>
      </w:r>
    </w:p>
    <w:p>
      <w:pPr>
        <w:spacing w:line="360" w:lineRule="auto" w:after="40"/>
        <w:ind w:left="709" w:hanging="283"/>
        <w:jc w:val="both"/>
      </w:pPr>
      <w:r>
        <w:rPr>
          <w:rFonts w:ascii="Times New Roman" w:hAnsi="Times New Roman"/>
          <w:sz w:val="24"/>
        </w:rPr>
        <w:t>4. Temuan Utama. Beberapa temuan utama dalam audit ini mencakup:</w:t>
      </w:r>
    </w:p>
    <w:p>
      <w:pPr>
        <w:spacing w:line="360" w:lineRule="auto" w:after="40"/>
        <w:ind w:left="709" w:hanging="283"/>
        <w:jc w:val="both"/>
      </w:pPr>
      <w:r>
        <w:rPr>
          <w:rFonts w:ascii="Times New Roman" w:hAnsi="Times New Roman"/>
          <w:sz w:val="24"/>
        </w:rPr>
        <w:t>• Proses identifikasi risiko TI sudah dilakukan namun dokumentasinya belum lengkap dan belum dikelola dalam risk register yang terstruktur</w:t>
      </w:r>
    </w:p>
    <w:p>
      <w:pPr>
        <w:spacing w:line="360" w:lineRule="auto" w:after="40"/>
        <w:ind w:left="709" w:hanging="283"/>
        <w:jc w:val="both"/>
      </w:pPr>
      <w:r>
        <w:rPr>
          <w:rFonts w:ascii="Times New Roman" w:hAnsi="Times New Roman"/>
          <w:sz w:val="24"/>
        </w:rPr>
        <w:t>• Kebijakan keamanan informasi sudah ada namun sosialisasi dan program pelatihan keamanan belum berjalan secara rutin</w:t>
      </w:r>
    </w:p>
    <w:p>
      <w:pPr>
        <w:spacing w:line="360" w:lineRule="auto" w:after="40"/>
        <w:ind w:left="709" w:hanging="283"/>
        <w:jc w:val="both"/>
      </w:pPr>
      <w:r>
        <w:rPr>
          <w:rFonts w:ascii="Times New Roman" w:hAnsi="Times New Roman"/>
          <w:sz w:val="24"/>
        </w:rPr>
        <w:t>• Pencatatan perubahan TI sudah dilakukan, namun prosedur change management belum terdokumentasi secara formal</w:t>
      </w:r>
    </w:p>
    <w:p>
      <w:pPr>
        <w:spacing w:line="360" w:lineRule="auto" w:after="40"/>
        <w:ind w:left="709" w:hanging="283"/>
        <w:jc w:val="both"/>
      </w:pPr>
      <w:r>
        <w:rPr>
          <w:rFonts w:ascii="Times New Roman" w:hAnsi="Times New Roman"/>
          <w:sz w:val="24"/>
        </w:rPr>
        <w:t>• Pemantauan operasional platform digital sudah berjalan rutin, namun SOP operasional belum diterapkan secara konsisten di seluruh divisi</w:t>
      </w:r>
    </w:p>
    <w:p>
      <w:pPr>
        <w:spacing w:line="360" w:lineRule="auto" w:after="40"/>
        <w:ind w:left="709" w:hanging="283"/>
        <w:jc w:val="both"/>
      </w:pPr>
      <w:r>
        <w:rPr>
          <w:rFonts w:ascii="Times New Roman" w:hAnsi="Times New Roman"/>
          <w:sz w:val="24"/>
        </w:rPr>
        <w:t>• Implementasi teknis layanan keamanan (antimalware, access control, backup) sudah cukup baik, namun audit keamanan internal belum dilaksanakan secara berkala</w:t>
      </w:r>
    </w:p>
    <w:p>
      <w:pPr>
        <w:pStyle w:val="Heading2"/>
      </w:pPr>
      <w:r>
        <w:t>B. Saran</w:t>
      </w:r>
    </w:p>
    <w:p>
      <w:pPr>
        <w:spacing w:line="360" w:lineRule="auto" w:after="120"/>
        <w:ind w:firstLine="709"/>
        <w:jc w:val="both"/>
      </w:pPr>
      <w:r>
        <w:rPr>
          <w:rFonts w:ascii="Times New Roman" w:hAnsi="Times New Roman"/>
          <w:b w:val="0"/>
          <w:i w:val="0"/>
          <w:sz w:val="24"/>
        </w:rPr>
        <w:t>Berdasarkan hasil analisis dan temuan audit, disarankan hal-hal sebagai berikut untuk meningkatkan tingkat kapabilitas tata kelola teknologi informasi di PT. Murni Solusindo Nusantara:</w:t>
      </w:r>
    </w:p>
    <w:p>
      <w:pPr>
        <w:spacing w:line="360" w:lineRule="auto" w:after="40"/>
        <w:ind w:left="709" w:hanging="283"/>
        <w:jc w:val="both"/>
      </w:pPr>
      <w:r>
        <w:rPr>
          <w:rFonts w:ascii="Times New Roman" w:hAnsi="Times New Roman"/>
          <w:sz w:val="24"/>
        </w:rPr>
        <w:t>1. Penyusunan Dokumentasi Formal. PT. Murni Solusindo Nusantara perlu segera menyusun dan mendokumentasikan seluruh kebijakan, prosedur, dan standar operasional tata kelola TI secara formal. Dokumentasi ini meliputi kebijakan manajemen risiko, prosedur keamanan informasi, SOP change management, dan SOP operasional TI. Dokumentasi yang baik menjadi fondasi utama untuk bergerak dari Level 2 menuju Level 3 (Established Process).</w:t>
      </w:r>
    </w:p>
    <w:p>
      <w:pPr>
        <w:spacing w:line="360" w:lineRule="auto" w:after="40"/>
        <w:ind w:left="709" w:hanging="283"/>
        <w:jc w:val="both"/>
      </w:pPr>
      <w:r>
        <w:rPr>
          <w:rFonts w:ascii="Times New Roman" w:hAnsi="Times New Roman"/>
          <w:sz w:val="24"/>
        </w:rPr>
        <w:t>2. Penerapan Pengukuran Kuantitatif. Perusahaan perlu menetapkan Key Performance Indicators (KPI) yang terukur untuk setiap domain tata kelola TI. Metrik-metrik seperti jumlah insiden keamanan per periode, waktu respons insiden, persentase keberhasilan perubahan TI, uptime platform, dan tingkat kepuasan pengguna internal perlu dimonitor secara berkala dan dijadikan dasar pengambilan keputusan.</w:t>
      </w:r>
    </w:p>
    <w:p>
      <w:pPr>
        <w:spacing w:line="360" w:lineRule="auto" w:after="40"/>
        <w:ind w:left="709" w:hanging="283"/>
        <w:jc w:val="both"/>
      </w:pPr>
      <w:r>
        <w:rPr>
          <w:rFonts w:ascii="Times New Roman" w:hAnsi="Times New Roman"/>
          <w:sz w:val="24"/>
        </w:rPr>
        <w:t>3. Peningkatan Program Pelatihan. Perlu dilakukan program pelatihan dan sosialisasi tata kelola TI secara rutin kepada seluruh karyawan, tidak hanya divisi IT. Pelatihan ini mencakup kesadaran keamanan informasi (security awareness), prosedur penanganan insiden, dan tata cara pelaporan risiko TI. Pelatihan disarankan dilaksanakan minimal 2 kali dalam setahun.</w:t>
      </w:r>
    </w:p>
    <w:p>
      <w:pPr>
        <w:spacing w:line="360" w:lineRule="auto" w:after="40"/>
        <w:ind w:left="709" w:hanging="283"/>
        <w:jc w:val="both"/>
      </w:pPr>
      <w:r>
        <w:rPr>
          <w:rFonts w:ascii="Times New Roman" w:hAnsi="Times New Roman"/>
          <w:sz w:val="24"/>
        </w:rPr>
        <w:t>4. Pembentukan Tim Khusus Tata Kelola TI. Disarankan untuk membentuk tim atau komite tata kelola TI yang bertanggung jawab mengawasi dan mengevaluasi pelaksanaan seluruh kebijakan dan prosedur TI secara berkala. Tim ini berperan sebagai penggerak perbaikan berkelanjutan dan memastikan konsistensi penerapan tata kelola di seluruh divisi.</w:t>
      </w:r>
    </w:p>
    <w:p>
      <w:pPr>
        <w:spacing w:line="360" w:lineRule="auto" w:after="40"/>
        <w:ind w:left="709" w:hanging="283"/>
        <w:jc w:val="both"/>
      </w:pPr>
      <w:r>
        <w:rPr>
          <w:rFonts w:ascii="Times New Roman" w:hAnsi="Times New Roman"/>
          <w:sz w:val="24"/>
        </w:rPr>
        <w:t>5. Pelaksanaan Audit Internal Berkala. PT. Murni Solusindo Nusantara perlu menjadwalkan audit internal tata kelola TI secara periodik, idealnya minimal 2 kali per tahun. Audit internal ini bertujuan untuk memonitor perkembangan capability level, mengidentifikasi area yang masih memerlukan perbaikan, dan memastikan bahwa rekomendasi dari audit sebelumnya telah diimplementasikan.</w:t>
      </w:r>
    </w:p>
    <w:p>
      <w:pPr>
        <w:spacing w:line="360" w:lineRule="auto" w:after="40"/>
        <w:ind w:left="709" w:hanging="283"/>
        <w:jc w:val="both"/>
      </w:pPr>
      <w:r>
        <w:rPr>
          <w:rFonts w:ascii="Times New Roman" w:hAnsi="Times New Roman"/>
          <w:sz w:val="24"/>
        </w:rPr>
        <w:t>6. Implementasi Bertahap. Perbaikan menuju Level 4 disarankan dilakukan secara bertahap. Pada fase pertama (6 bulan), prioritaskan pencapaian Level 3 dengan fokus pada standardisasi dan dokumentasi prosedur. Pada fase kedua (6–12 bulan), targetkan pencapaian Level 4 dengan fokus pada penerapan metrik kuantitatif dan otomatisasi proses monitoring.</w:t>
      </w:r>
    </w:p>
    <w:p>
      <w:pPr>
        <w:sectPr>
          <w:footerReference w:type="first" r:id="rId29"/>
          <w:headerReference w:type="first" r:id="rId30"/>
          <w:headerReference w:type="default" r:id="rId31"/>
          <w:footerReference w:type="default" r:id="rId32"/>
          <w:pgSz w:w="11906" w:h="16838"/>
          <w:pgMar w:top="1701" w:right="1417" w:bottom="1417" w:left="2268" w:header="709" w:footer="170" w:gutter="0"/>
          <w:cols w:space="720"/>
          <w:titlePg/>
          <w:docGrid w:linePitch="360"/>
        </w:sectPr>
      </w:pPr>
    </w:p>
    <w:p>
      <w:pPr>
        <w:spacing w:line="360" w:lineRule="auto" w:after="480"/>
        <w:jc w:val="center"/>
      </w:pPr>
      <w:r>
        <w:rPr>
          <w:rFonts w:ascii="Times New Roman" w:hAnsi="Times New Roman"/>
          <w:b/>
          <w:sz w:val="28"/>
        </w:rPr>
        <w:t>DAFTAR PUSTAKA</w:t>
      </w:r>
    </w:p>
    <w:p>
      <w:pPr>
        <w:spacing w:line="360" w:lineRule="auto" w:after="120"/>
        <w:ind w:left="709" w:hanging="709"/>
        <w:jc w:val="both"/>
      </w:pPr>
      <w:r>
        <w:rPr>
          <w:rFonts w:ascii="Times New Roman" w:hAnsi="Times New Roman"/>
          <w:sz w:val="24"/>
        </w:rPr>
        <w:t>Algiffary, A., Herdiansyah, M. I., &amp; Kunang, Y. N. (2023). Audit Keamanan Sistem Informasi Manajemen Rumah Sakit dengan Framework COBIT 2019 Pada RSUD Palembang Bari. JACOST (Journal of Applied Computer Science and Technology), 4(1), 19–26. https://doi.org/10.52158/jacost.v4i1.505</w:t>
      </w:r>
    </w:p>
    <w:p>
      <w:pPr>
        <w:spacing w:line="360" w:lineRule="auto" w:after="120"/>
        <w:ind w:left="709" w:hanging="709"/>
        <w:jc w:val="both"/>
      </w:pPr>
      <w:r>
        <w:rPr>
          <w:rFonts w:ascii="Times New Roman" w:hAnsi="Times New Roman"/>
          <w:sz w:val="24"/>
        </w:rPr>
        <w:t>Destriani, M., &amp; Putra, Y. H. (2023). Rencana Audit Tata Kelola Sistem Informasi di Universitas Subang Menggunakan Framework COBIT 2019. Jurnal Tata Kelola dan Kerangka Kerja Teknologi Informasi (JTK3TI), 9(1), 19–33.</w:t>
      </w:r>
    </w:p>
    <w:p>
      <w:pPr>
        <w:spacing w:line="360" w:lineRule="auto" w:after="120"/>
        <w:ind w:left="709" w:hanging="709"/>
        <w:jc w:val="both"/>
      </w:pPr>
      <w:r>
        <w:rPr>
          <w:rFonts w:ascii="Times New Roman" w:hAnsi="Times New Roman"/>
          <w:sz w:val="24"/>
        </w:rPr>
        <w:t>Erlansari, A., Amal, I., &amp; Wijanarko, A. (2023). Efektifitas Pengukuran Capability Level Tata Kelola Teknologi Informasi Menggunakan Kerangka Kerja COBIT 2019. JSAI (Journal Scientific and Applied Informatics), 6(2), 267–273. https://doi.org/10.36085/jsai.v6i2.5236</w:t>
      </w:r>
    </w:p>
    <w:p>
      <w:pPr>
        <w:spacing w:line="360" w:lineRule="auto" w:after="120"/>
        <w:ind w:left="709" w:hanging="709"/>
        <w:jc w:val="both"/>
      </w:pPr>
      <w:r>
        <w:rPr>
          <w:rFonts w:ascii="Times New Roman" w:hAnsi="Times New Roman"/>
          <w:sz w:val="24"/>
        </w:rPr>
        <w:t>Jogiyanto, H. M., &amp; Abdillah, W. (2011). Sistem Tatakelola Teknologi Informasi. Andi Offset.</w:t>
      </w:r>
    </w:p>
    <w:p>
      <w:pPr>
        <w:spacing w:line="360" w:lineRule="auto" w:after="120"/>
        <w:ind w:left="709" w:hanging="709"/>
        <w:jc w:val="both"/>
      </w:pPr>
      <w:r>
        <w:rPr>
          <w:rFonts w:ascii="Times New Roman" w:hAnsi="Times New Roman"/>
          <w:sz w:val="24"/>
        </w:rPr>
        <w:t>ISACA. (2018a). COBIT 2019 Framework: Governance and Management Objectives. ISACA.</w:t>
      </w:r>
    </w:p>
    <w:p>
      <w:pPr>
        <w:spacing w:line="360" w:lineRule="auto" w:after="120"/>
        <w:ind w:left="709" w:hanging="709"/>
        <w:jc w:val="both"/>
      </w:pPr>
      <w:r>
        <w:rPr>
          <w:rFonts w:ascii="Times New Roman" w:hAnsi="Times New Roman"/>
          <w:sz w:val="24"/>
        </w:rPr>
        <w:t>ISACA. (2018b). COBIT 2019 Framework: Introduction and Methodology. ISACA.</w:t>
      </w:r>
    </w:p>
    <w:p>
      <w:pPr>
        <w:spacing w:line="360" w:lineRule="auto" w:after="120"/>
        <w:ind w:left="709" w:hanging="709"/>
        <w:jc w:val="both"/>
      </w:pPr>
      <w:r>
        <w:rPr>
          <w:rFonts w:ascii="Times New Roman" w:hAnsi="Times New Roman"/>
          <w:sz w:val="24"/>
        </w:rPr>
        <w:t>Otero, A. R. (2018). Information Technology Control and Audit (Fifth Edition). CRC Press Taylor &amp; Francis Group.</w:t>
      </w:r>
    </w:p>
    <w:p>
      <w:pPr>
        <w:spacing w:line="360" w:lineRule="auto" w:after="120"/>
        <w:ind w:left="709" w:hanging="709"/>
        <w:jc w:val="both"/>
      </w:pPr>
      <w:r>
        <w:rPr>
          <w:rFonts w:ascii="Times New Roman" w:hAnsi="Times New Roman"/>
          <w:sz w:val="24"/>
        </w:rPr>
        <w:t>Sakron, N., Firmansyah, G., Akbar, H., &amp; Tjahjono, B. (2023). Audit of Information Technology Governance on School Operational Cost Flow in SMKN West Jakarta Using COBIT 2019. Jurnal Indonesia Sosial Sains, 4(09), 763–772. https://doi.org/10.59141/jiss.v4i09.881</w:t>
      </w:r>
    </w:p>
    <w:p>
      <w:pPr>
        <w:spacing w:line="360" w:lineRule="auto" w:after="120"/>
        <w:ind w:left="709" w:hanging="709"/>
        <w:jc w:val="both"/>
      </w:pPr>
      <w:r>
        <w:rPr>
          <w:rFonts w:ascii="Times New Roman" w:hAnsi="Times New Roman"/>
          <w:sz w:val="24"/>
        </w:rPr>
        <w:t>Solechan, A. (2021). Audit Sistem Informasi. Yayasan Prima Agus Teknik dengan Universitas STEKOM.</w:t>
      </w:r>
    </w:p>
    <w:p>
      <w:pPr>
        <w:spacing w:line="360" w:lineRule="auto" w:after="120"/>
        <w:ind w:left="709" w:hanging="709"/>
        <w:jc w:val="both"/>
      </w:pPr>
      <w:r>
        <w:rPr>
          <w:rFonts w:ascii="Times New Roman" w:hAnsi="Times New Roman"/>
          <w:sz w:val="24"/>
        </w:rPr>
        <w:t>Swastika, I. P. A., &amp; Putra, I. G. L. A. R. (2016). Audit Sistem Informasi dan Tata Kelola Teknologi Informasi. Andi Offset.</w:t>
      </w:r>
    </w:p>
    <w:p>
      <w:pPr>
        <w:spacing w:line="360" w:lineRule="auto" w:after="120"/>
        <w:ind w:left="709" w:hanging="709"/>
        <w:jc w:val="both"/>
      </w:pPr>
      <w:r>
        <w:rPr>
          <w:rFonts w:ascii="Times New Roman" w:hAnsi="Times New Roman"/>
          <w:sz w:val="24"/>
        </w:rPr>
        <w:t>Syuhada, A. M. (2021). Kajian Perbandingan COBIT 5 dengan COBIT 2019 sebagai Framework Audit Tata Kelola Teknologi Informasi. Syntax Literate: Jurnal Ilmiah Indonesia, 6(1), 30–44.</w:t>
      </w:r>
    </w:p>
    <w:p>
      <w:pPr>
        <w:spacing w:line="360" w:lineRule="auto" w:after="120"/>
        <w:ind w:left="709" w:hanging="709"/>
        <w:jc w:val="both"/>
      </w:pPr>
      <w:r>
        <w:rPr>
          <w:rFonts w:ascii="Times New Roman" w:hAnsi="Times New Roman"/>
          <w:sz w:val="24"/>
        </w:rPr>
        <w:t>Zuraidah, E., &amp; Sulthon, B. M. (2022a). Audit Sistem Informasi Penjualan Pada UMKM MAM Menggunakan Framework COBIT 5. JURIKOM (Jurnal Riset Komputer), 9(5), 1450–1459.</w:t>
      </w:r>
    </w:p>
    <w:p>
      <w:pPr>
        <w:spacing w:line="360" w:lineRule="auto" w:after="120"/>
        <w:ind w:left="709" w:hanging="709"/>
        <w:jc w:val="both"/>
      </w:pPr>
      <w:r>
        <w:rPr>
          <w:rFonts w:ascii="Times New Roman" w:hAnsi="Times New Roman"/>
          <w:sz w:val="24"/>
        </w:rPr>
        <w:t>Zuraidah, E., &amp; Sulthon, B. M. (2022b). Audit Sistem Informasi Perkreditan pada PT. Aneka Optimal Menggunakan Framework COBIT 4.0. Jurnal PROSISKO, 9(2), 112–120.</w:t>
      </w:r>
    </w:p>
    <w:p>
      <w:pPr>
        <w:sectPr>
          <w:footerReference w:type="default" r:id="rId33"/>
          <w:headerReference w:type="default" r:id="rId34"/>
          <w:pgSz w:w="11906" w:h="16838"/>
          <w:pgMar w:top="1701" w:right="1417" w:bottom="1417" w:left="2268" w:header="709" w:footer="170" w:gutter="0"/>
          <w:cols w:space="720"/>
          <w:docGrid w:linePitch="360"/>
        </w:sectPr>
      </w:pPr>
    </w:p>
    <w:p>
      <w:pPr>
        <w:spacing w:line="360" w:lineRule="auto" w:after="360"/>
        <w:jc w:val="center"/>
      </w:pPr>
      <w:r>
        <w:rPr>
          <w:rFonts w:ascii="Times New Roman" w:hAnsi="Times New Roman"/>
          <w:b/>
          <w:sz w:val="32"/>
        </w:rPr>
        <w:t>LAMPIRAN</w:t>
      </w:r>
    </w:p>
    <w:p>
      <w:pPr>
        <w:spacing w:line="360" w:lineRule="auto" w:after="0"/>
        <w:jc w:val="center"/>
      </w:pPr>
      <w:r>
        <w:rPr>
          <w:rFonts w:ascii="Times New Roman" w:hAnsi="Times New Roman"/>
          <w:b/>
          <w:sz w:val="28"/>
        </w:rPr>
        <w:t>Lampiran 1</w:t>
      </w:r>
    </w:p>
    <w:p>
      <w:pPr>
        <w:spacing w:line="360" w:lineRule="auto" w:after="360"/>
        <w:jc w:val="center"/>
      </w:pPr>
      <w:r>
        <w:rPr>
          <w:rFonts w:ascii="Times New Roman" w:hAnsi="Times New Roman"/>
          <w:b/>
          <w:sz w:val="28"/>
        </w:rPr>
        <w:t>Kuesioner Penelitian</w:t>
      </w:r>
    </w:p>
    <w:p>
      <w:pPr>
        <w:spacing w:line="360" w:lineRule="auto" w:after="120"/>
        <w:ind w:firstLine="709"/>
        <w:jc w:val="both"/>
      </w:pPr>
      <w:r>
        <w:rPr>
          <w:rFonts w:ascii="Times New Roman" w:hAnsi="Times New Roman"/>
          <w:b w:val="0"/>
          <w:i/>
          <w:sz w:val="24"/>
        </w:rPr>
        <w:t>Lampiran ini menyajikan instrumen kuesioner (dalam keadaan kosong/blank) yang dibagikan kepada responden untuk mengumpulkan data penilaian terhadap setiap pernyataan. Adapun rekapitulasi jawaban yang telah diisi oleh kedelapan responden disajikan secara lengkap pada Lampiran 2 (Tabulasi Data Responden), sedangkan RACI Matrix di bawah merupakan pemetaan tanggung jawab peran dan bukan bagian yang diisi oleh responden.</w:t>
      </w:r>
    </w:p>
    <w:p>
      <w:pPr>
        <w:spacing w:line="360" w:lineRule="auto" w:after="120"/>
        <w:ind w:firstLine="709"/>
        <w:jc w:val="both"/>
      </w:pPr>
      <w:r>
        <w:rPr>
          <w:rFonts w:ascii="Times New Roman" w:hAnsi="Times New Roman"/>
          <w:b w:val="0"/>
          <w:i w:val="0"/>
          <w:sz w:val="24"/>
        </w:rPr>
        <w:t>Berilah penilaian terhadap setiap pernyataan berikut dengan memilih salah satu skala:</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Skala</w:t>
            </w:r>
          </w:p>
        </w:tc>
        <w:tc>
          <w:tcPr>
            <w:tcW w:type="dxa" w:w="2740"/>
          </w:tcPr>
          <w:p>
            <w:pPr>
              <w:spacing w:line="240" w:lineRule="auto" w:after="40" w:before="40"/>
              <w:jc w:val="center"/>
            </w:pPr>
            <w:r>
              <w:rPr>
                <w:rFonts w:ascii="Times New Roman" w:hAnsi="Times New Roman"/>
                <w:b/>
                <w:sz w:val="20"/>
              </w:rPr>
              <w:t>Keterangan</w:t>
            </w:r>
          </w:p>
        </w:tc>
        <w:tc>
          <w:tcPr>
            <w:tcW w:type="dxa" w:w="2740"/>
          </w:tcPr>
          <w:p>
            <w:pPr>
              <w:spacing w:line="240" w:lineRule="auto" w:after="40" w:before="40"/>
              <w:jc w:val="center"/>
            </w:pPr>
            <w:r>
              <w:rPr>
                <w:rFonts w:ascii="Times New Roman" w:hAnsi="Times New Roman"/>
                <w:b/>
                <w:sz w:val="20"/>
              </w:rPr>
              <w:t>Nilai</w:t>
            </w:r>
          </w:p>
        </w:tc>
      </w:tr>
      <w:tr>
        <w:tc>
          <w:tcPr>
            <w:tcW w:type="dxa" w:w="2740"/>
          </w:tcPr>
          <w:p>
            <w:pPr>
              <w:spacing w:line="240" w:lineRule="auto" w:after="40" w:before="40"/>
              <w:jc w:val="left"/>
            </w:pPr>
            <w:r>
              <w:rPr>
                <w:rFonts w:ascii="Times New Roman" w:hAnsi="Times New Roman"/>
                <w:sz w:val="20"/>
              </w:rPr>
              <w:t>STS</w:t>
            </w:r>
          </w:p>
        </w:tc>
        <w:tc>
          <w:tcPr>
            <w:tcW w:type="dxa" w:w="2740"/>
          </w:tcPr>
          <w:p>
            <w:pPr>
              <w:spacing w:line="240" w:lineRule="auto" w:after="40" w:before="40"/>
              <w:jc w:val="left"/>
            </w:pPr>
            <w:r>
              <w:rPr>
                <w:rFonts w:ascii="Times New Roman" w:hAnsi="Times New Roman"/>
                <w:sz w:val="20"/>
              </w:rPr>
              <w:t>Sangat Tidak Setuju</w:t>
            </w:r>
          </w:p>
        </w:tc>
        <w:tc>
          <w:tcPr>
            <w:tcW w:type="dxa" w:w="2740"/>
          </w:tcPr>
          <w:p>
            <w:pPr>
              <w:spacing w:line="240" w:lineRule="auto" w:after="40" w:before="40"/>
              <w:jc w:val="left"/>
            </w:pPr>
            <w:r>
              <w:rPr>
                <w:rFonts w:ascii="Times New Roman" w:hAnsi="Times New Roman"/>
                <w:sz w:val="20"/>
              </w:rPr>
              <w:t>1</w:t>
            </w:r>
          </w:p>
        </w:tc>
      </w:tr>
      <w:tr>
        <w:tc>
          <w:tcPr>
            <w:tcW w:type="dxa" w:w="2740"/>
          </w:tcPr>
          <w:p>
            <w:pPr>
              <w:spacing w:line="240" w:lineRule="auto" w:after="40" w:before="40"/>
              <w:jc w:val="left"/>
            </w:pPr>
            <w:r>
              <w:rPr>
                <w:rFonts w:ascii="Times New Roman" w:hAnsi="Times New Roman"/>
                <w:sz w:val="20"/>
              </w:rPr>
              <w:t>TS</w:t>
            </w:r>
          </w:p>
        </w:tc>
        <w:tc>
          <w:tcPr>
            <w:tcW w:type="dxa" w:w="2740"/>
          </w:tcPr>
          <w:p>
            <w:pPr>
              <w:spacing w:line="240" w:lineRule="auto" w:after="40" w:before="40"/>
              <w:jc w:val="left"/>
            </w:pPr>
            <w:r>
              <w:rPr>
                <w:rFonts w:ascii="Times New Roman" w:hAnsi="Times New Roman"/>
                <w:sz w:val="20"/>
              </w:rPr>
              <w:t>Tidak Setuju</w:t>
            </w:r>
          </w:p>
        </w:tc>
        <w:tc>
          <w:tcPr>
            <w:tcW w:type="dxa" w:w="2740"/>
          </w:tcPr>
          <w:p>
            <w:pPr>
              <w:spacing w:line="240" w:lineRule="auto" w:after="40" w:before="40"/>
              <w:jc w:val="left"/>
            </w:pPr>
            <w:r>
              <w:rPr>
                <w:rFonts w:ascii="Times New Roman" w:hAnsi="Times New Roman"/>
                <w:sz w:val="20"/>
              </w:rPr>
              <w:t>2</w:t>
            </w:r>
          </w:p>
        </w:tc>
      </w:tr>
      <w:tr>
        <w:tc>
          <w:tcPr>
            <w:tcW w:type="dxa" w:w="2740"/>
          </w:tcPr>
          <w:p>
            <w:pPr>
              <w:spacing w:line="240" w:lineRule="auto" w:after="40" w:before="40"/>
              <w:jc w:val="left"/>
            </w:pPr>
            <w:r>
              <w:rPr>
                <w:rFonts w:ascii="Times New Roman" w:hAnsi="Times New Roman"/>
                <w:sz w:val="20"/>
              </w:rPr>
              <w:t>R</w:t>
            </w:r>
          </w:p>
        </w:tc>
        <w:tc>
          <w:tcPr>
            <w:tcW w:type="dxa" w:w="2740"/>
          </w:tcPr>
          <w:p>
            <w:pPr>
              <w:spacing w:line="240" w:lineRule="auto" w:after="40" w:before="40"/>
              <w:jc w:val="left"/>
            </w:pPr>
            <w:r>
              <w:rPr>
                <w:rFonts w:ascii="Times New Roman" w:hAnsi="Times New Roman"/>
                <w:sz w:val="20"/>
              </w:rPr>
              <w:t>Ragu-ragu</w:t>
            </w:r>
          </w:p>
        </w:tc>
        <w:tc>
          <w:tcPr>
            <w:tcW w:type="dxa" w:w="2740"/>
          </w:tcPr>
          <w:p>
            <w:pPr>
              <w:spacing w:line="240" w:lineRule="auto" w:after="40" w:before="40"/>
              <w:jc w:val="left"/>
            </w:pPr>
            <w:r>
              <w:rPr>
                <w:rFonts w:ascii="Times New Roman" w:hAnsi="Times New Roman"/>
                <w:sz w:val="20"/>
              </w:rPr>
              <w:t>3</w:t>
            </w:r>
          </w:p>
        </w:tc>
      </w:tr>
      <w:tr>
        <w:tc>
          <w:tcPr>
            <w:tcW w:type="dxa" w:w="2740"/>
          </w:tcPr>
          <w:p>
            <w:pPr>
              <w:spacing w:line="240" w:lineRule="auto" w:after="40" w:before="40"/>
              <w:jc w:val="left"/>
            </w:pPr>
            <w:r>
              <w:rPr>
                <w:rFonts w:ascii="Times New Roman" w:hAnsi="Times New Roman"/>
                <w:sz w:val="20"/>
              </w:rPr>
              <w:t>S</w:t>
            </w:r>
          </w:p>
        </w:tc>
        <w:tc>
          <w:tcPr>
            <w:tcW w:type="dxa" w:w="2740"/>
          </w:tcPr>
          <w:p>
            <w:pPr>
              <w:spacing w:line="240" w:lineRule="auto" w:after="40" w:before="40"/>
              <w:jc w:val="left"/>
            </w:pPr>
            <w:r>
              <w:rPr>
                <w:rFonts w:ascii="Times New Roman" w:hAnsi="Times New Roman"/>
                <w:sz w:val="20"/>
              </w:rPr>
              <w:t>Setuju</w:t>
            </w:r>
          </w:p>
        </w:tc>
        <w:tc>
          <w:tcPr>
            <w:tcW w:type="dxa" w:w="2740"/>
          </w:tcPr>
          <w:p>
            <w:pPr>
              <w:spacing w:line="240" w:lineRule="auto" w:after="40" w:before="40"/>
              <w:jc w:val="left"/>
            </w:pPr>
            <w:r>
              <w:rPr>
                <w:rFonts w:ascii="Times New Roman" w:hAnsi="Times New Roman"/>
                <w:sz w:val="20"/>
              </w:rPr>
              <w:t>4</w:t>
            </w:r>
          </w:p>
        </w:tc>
      </w:tr>
      <w:tr>
        <w:tc>
          <w:tcPr>
            <w:tcW w:type="dxa" w:w="2740"/>
          </w:tcPr>
          <w:p>
            <w:pPr>
              <w:spacing w:line="240" w:lineRule="auto" w:after="40" w:before="40"/>
              <w:jc w:val="left"/>
            </w:pPr>
            <w:r>
              <w:rPr>
                <w:rFonts w:ascii="Times New Roman" w:hAnsi="Times New Roman"/>
                <w:sz w:val="20"/>
              </w:rPr>
              <w:t>SS</w:t>
            </w:r>
          </w:p>
        </w:tc>
        <w:tc>
          <w:tcPr>
            <w:tcW w:type="dxa" w:w="2740"/>
          </w:tcPr>
          <w:p>
            <w:pPr>
              <w:spacing w:line="240" w:lineRule="auto" w:after="40" w:before="40"/>
              <w:jc w:val="left"/>
            </w:pPr>
            <w:r>
              <w:rPr>
                <w:rFonts w:ascii="Times New Roman" w:hAnsi="Times New Roman"/>
                <w:sz w:val="20"/>
              </w:rPr>
              <w:t>Sangat Setuju</w:t>
            </w:r>
          </w:p>
        </w:tc>
        <w:tc>
          <w:tcPr>
            <w:tcW w:type="dxa" w:w="2740"/>
          </w:tcPr>
          <w:p>
            <w:pPr>
              <w:spacing w:line="240" w:lineRule="auto" w:after="40" w:before="40"/>
              <w:jc w:val="left"/>
            </w:pPr>
            <w:r>
              <w:rPr>
                <w:rFonts w:ascii="Times New Roman" w:hAnsi="Times New Roman"/>
                <w:sz w:val="20"/>
              </w:rPr>
              <w:t>5</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Responden:</w:t>
      </w:r>
      <w:r>
        <w:rPr>
          <w:rFonts w:ascii="Times New Roman" w:hAnsi="Times New Roman"/>
          <w:b w:val="0"/>
          <w:i w:val="0"/>
          <w:sz w:val="24"/>
        </w:rPr>
        <w:t xml:space="preserve"> Karyawan PT. Murni Solusindo Nusantara yang terlibat dalam pengelolaan TI.</w:t>
      </w:r>
    </w:p>
    <w:p>
      <w:pPr>
        <w:pStyle w:val="Heading2"/>
      </w:pPr>
      <w:r>
        <w:t>Domain APO12 — Managed Risk (Pengelolaan Risiko)</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telah mengidentifikasi risiko-risiko yang terkait dengan penggunaan teknologi informasi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proses pengumpulan data yang relevan untuk menganalisis risiko TI secara efektif</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telah mendokumentasikan risiko TI yang berpotensi mempengaruhi operasional bisnis</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jelas dalam mengelola risiko teknologi informasi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Proses manajemen risiko TI dipantau secara berkala dan dilaporkan kepada pihak yang berkepentingan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Hasil pengelolaan risiko TI dievaluasi untuk memastikan kesesuaian dengan tujuan yang ditetapkan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yang terdefinisi untuk mengelola risiko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Proses pengelolaan risiko TI telah diimplementasikan secara konsisten di seluruh divisi terkait</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dokumentasi formal mengenai kebijakan dan prosedur manajemen risiko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APO13 — Managed Security (Pengelolaan Keamanan)</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telah menetapkan kebijakan keamanan informasi untuk melindungi data dan sistem</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mekanisme perlindungan terhadap akses tidak sah ke sistem informasi perusahaan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melakukan sosialisasi kebijakan keamanan informasi kepada seluruh karyawan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terstruktur dalam pengelolaan keamanan informasi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Pengelolaan keamanan informasi dipantau secara rutin dan ada pelaporan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Hasil pengelolaan keamanan informasi dievaluasi untuk perbaikan berkelanjutan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keamanan informasi yang terdokumentasi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Kebijakan keamanan informasi diterapkan secara konsisten di seluruh platform digital perusahaan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program pelatihan keamanan informasi yang terstandar bagi karyawan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BAI06 — Managed IT Changes (Pengelolaan Perubahan TI)</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Setiap perubahan pada sistem TI dicatat dan didokumentasikan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proses persetujuan sebelum melakukan perubahan pada sistem yang berjalan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Dampak dari setiap perubahan TI dievaluasi sebelum implementasi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jelas untuk setiap perubahan TI yang akan dilakukan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Proses perubahan TI dipantau dan dilaporkan kepada pihak terkait</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Evaluasi dilakukan setelah implementasi perubahan untuk memastikan keberhasilan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untuk mengelola perubahan TI (change management procedure)</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Proses manajemen perubahan TI diterapkan secara konsisten pada seluruh proyek pengembangan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dokumentasi yang lengkap mengenai setiap siklus perubahan TI yang telah dilakukan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DSS01 — Managed Operations (Pengelolaan Operasional)</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Operasional platform digital perusahaan dipantau secara rutin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prosedur penanganan insiden operasional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memiliki jadwal pemeliharaan (maintenance) rutin untuk infrastruktur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operasional TI yang jelas dan terstruktur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Kinerja operasional TI dipantau dan dilaporkan secara berkala kepada manajemen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Evaluasi operasional TI dilakukan untuk mengidentifikasi area yang perlu ditingkatkan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SOP (Standard Operating Procedure) operasional TI yang terdokumentasi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SOP operasional TI diterapkan secara konsisten di seluruh divisi yang relevan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mekanisme feedback dari pengguna untuk meningkatkan kualitas layanan operasional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DSS05 — Managed Security Services (Pengelolaan Layanan Keamanan)</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menerapkan perlindungan terhadap malware dan ancaman siber pada infrastruktur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pengelolaan hak akses (access control) untuk setiap pengguna sistem informasi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melakukan pencadangan data (backup) secara rutin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terstruktur untuk layanan keamanan 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Layanan keamanan TI dipantau secara rutin dan ada pelaporan insiden keamanan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Evaluasi terhadap efektivitas layanan keamanan TI dilakukan secara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pengelolaan layanan keamanan TI yang terdokumentasi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Prosedur keamanan TI diterapkan secara konsisten pada seluruh platform digital perusahaan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program audit keamanan internal secara berkala untuk mengevaluasi kepatuhan terhadap standar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RACI Matrix</w:t>
      </w:r>
    </w:p>
    <w:tbl>
      <w:tblPr>
        <w:tblStyle w:val="TableGrid"/>
        <w:tblW w:type="auto" w:w="0"/>
        <w:jc w:val="center"/>
        <w:tblLayout w:type="autofit"/>
        <w:tblLook w:firstColumn="1" w:firstRow="1" w:lastColumn="0" w:lastRow="0" w:noHBand="0" w:noVBand="1" w:val="04A0"/>
        <w:tblW w:w="5000" w:type="pct"/>
      </w:tblPr>
      <w:tblGrid>
        <w:gridCol w:w="1174"/>
        <w:gridCol w:w="1174"/>
        <w:gridCol w:w="1174"/>
        <w:gridCol w:w="1174"/>
        <w:gridCol w:w="1174"/>
        <w:gridCol w:w="1174"/>
        <w:gridCol w:w="1174"/>
      </w:tblGrid>
      <w:tr>
        <w:tc>
          <w:tcPr>
            <w:tcW w:type="dxa" w:w="1174"/>
          </w:tcPr>
          <w:p>
            <w:pPr>
              <w:spacing w:line="240" w:lineRule="auto" w:after="40" w:before="40"/>
              <w:jc w:val="center"/>
            </w:pPr>
            <w:r>
              <w:rPr>
                <w:rFonts w:ascii="Times New Roman" w:hAnsi="Times New Roman"/>
                <w:b/>
                <w:sz w:val="20"/>
              </w:rPr>
              <w:t>Aktivitas</w:t>
            </w:r>
          </w:p>
        </w:tc>
        <w:tc>
          <w:tcPr>
            <w:tcW w:type="dxa" w:w="1174"/>
          </w:tcPr>
          <w:p>
            <w:pPr>
              <w:spacing w:line="240" w:lineRule="auto" w:after="40" w:before="40"/>
              <w:jc w:val="center"/>
            </w:pPr>
            <w:r>
              <w:rPr>
                <w:rFonts w:ascii="Times New Roman" w:hAnsi="Times New Roman"/>
                <w:b/>
                <w:sz w:val="20"/>
              </w:rPr>
              <w:t>Kepala IT</w:t>
            </w:r>
          </w:p>
        </w:tc>
        <w:tc>
          <w:tcPr>
            <w:tcW w:type="dxa" w:w="1174"/>
          </w:tcPr>
          <w:p>
            <w:pPr>
              <w:spacing w:line="240" w:lineRule="auto" w:after="40" w:before="40"/>
              <w:jc w:val="center"/>
            </w:pPr>
            <w:r>
              <w:rPr>
                <w:rFonts w:ascii="Times New Roman" w:hAnsi="Times New Roman"/>
                <w:b/>
                <w:sz w:val="20"/>
              </w:rPr>
              <w:t>Web Developer</w:t>
            </w:r>
          </w:p>
        </w:tc>
        <w:tc>
          <w:tcPr>
            <w:tcW w:type="dxa" w:w="1174"/>
          </w:tcPr>
          <w:p>
            <w:pPr>
              <w:spacing w:line="240" w:lineRule="auto" w:after="40" w:before="40"/>
              <w:jc w:val="center"/>
            </w:pPr>
            <w:r>
              <w:rPr>
                <w:rFonts w:ascii="Times New Roman" w:hAnsi="Times New Roman"/>
                <w:b/>
                <w:sz w:val="20"/>
              </w:rPr>
              <w:t>IT Support</w:t>
            </w:r>
          </w:p>
        </w:tc>
        <w:tc>
          <w:tcPr>
            <w:tcW w:type="dxa" w:w="1174"/>
          </w:tcPr>
          <w:p>
            <w:pPr>
              <w:spacing w:line="240" w:lineRule="auto" w:after="40" w:before="40"/>
              <w:jc w:val="center"/>
            </w:pPr>
            <w:r>
              <w:rPr>
                <w:rFonts w:ascii="Times New Roman" w:hAnsi="Times New Roman"/>
                <w:b/>
                <w:sz w:val="20"/>
              </w:rPr>
              <w:t>Digital Marketing</w:t>
            </w:r>
          </w:p>
        </w:tc>
        <w:tc>
          <w:tcPr>
            <w:tcW w:type="dxa" w:w="1174"/>
          </w:tcPr>
          <w:p>
            <w:pPr>
              <w:spacing w:line="240" w:lineRule="auto" w:after="40" w:before="40"/>
              <w:jc w:val="center"/>
            </w:pPr>
            <w:r>
              <w:rPr>
                <w:rFonts w:ascii="Times New Roman" w:hAnsi="Times New Roman"/>
                <w:b/>
                <w:sz w:val="20"/>
              </w:rPr>
              <w:t>Finance</w:t>
            </w:r>
          </w:p>
        </w:tc>
        <w:tc>
          <w:tcPr>
            <w:tcW w:type="dxa" w:w="1174"/>
          </w:tcPr>
          <w:p>
            <w:pPr>
              <w:spacing w:line="240" w:lineRule="auto" w:after="40" w:before="40"/>
              <w:jc w:val="center"/>
            </w:pPr>
            <w:r>
              <w:rPr>
                <w:rFonts w:ascii="Times New Roman" w:hAnsi="Times New Roman"/>
                <w:b/>
                <w:sz w:val="20"/>
              </w:rPr>
              <w:t>HR</w:t>
            </w:r>
          </w:p>
        </w:tc>
      </w:tr>
      <w:tr>
        <w:tc>
          <w:tcPr>
            <w:tcW w:type="dxa" w:w="1174"/>
          </w:tcPr>
          <w:p>
            <w:pPr>
              <w:spacing w:line="240" w:lineRule="auto" w:after="40" w:before="40"/>
              <w:jc w:val="left"/>
            </w:pPr>
            <w:r>
              <w:rPr>
                <w:rFonts w:ascii="Times New Roman" w:hAnsi="Times New Roman"/>
                <w:sz w:val="20"/>
              </w:rPr>
              <w:t>Identifikasi Risiko TI (APO12)</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Penetapan Kebijakan Keamanan (APO13)</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r>
      <w:tr>
        <w:tc>
          <w:tcPr>
            <w:tcW w:type="dxa" w:w="1174"/>
          </w:tcPr>
          <w:p>
            <w:pPr>
              <w:spacing w:line="240" w:lineRule="auto" w:after="40" w:before="40"/>
              <w:jc w:val="left"/>
            </w:pPr>
            <w:r>
              <w:rPr>
                <w:rFonts w:ascii="Times New Roman" w:hAnsi="Times New Roman"/>
                <w:sz w:val="20"/>
              </w:rPr>
              <w:t>Pengelolaan Perubahan TI (BAI06)</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Pemantauan Operasional (DSS01)</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Pengelolaan Layanan Keamanan (DSS05)</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bl>
    <w:p>
      <w:pPr>
        <w:spacing w:after="120"/>
      </w:pPr>
    </w:p>
    <w:p>
      <w:pPr>
        <w:spacing w:line="360" w:lineRule="auto" w:before="120" w:after="80"/>
      </w:pPr>
      <w:r>
        <w:rPr>
          <w:rFonts w:ascii="Times New Roman" w:hAnsi="Times New Roman"/>
          <w:b/>
          <w:sz w:val="24"/>
        </w:rPr>
        <w:t>Keterangan:</w:t>
      </w:r>
    </w:p>
    <w:p>
      <w:pPr>
        <w:spacing w:line="360" w:lineRule="auto" w:after="40"/>
        <w:ind w:left="709" w:hanging="283"/>
        <w:jc w:val="both"/>
      </w:pPr>
      <w:r>
        <w:rPr>
          <w:rFonts w:ascii="Times New Roman" w:hAnsi="Times New Roman"/>
          <w:sz w:val="24"/>
        </w:rPr>
        <w:t>• R = Responsible (melaksanakan tugas)</w:t>
      </w:r>
    </w:p>
    <w:p>
      <w:pPr>
        <w:spacing w:line="360" w:lineRule="auto" w:after="40"/>
        <w:ind w:left="709" w:hanging="283"/>
        <w:jc w:val="both"/>
      </w:pPr>
      <w:r>
        <w:rPr>
          <w:rFonts w:ascii="Times New Roman" w:hAnsi="Times New Roman"/>
          <w:sz w:val="24"/>
        </w:rPr>
        <w:t>• A = Accountable (bertanggung jawab atas keputusan)</w:t>
      </w:r>
    </w:p>
    <w:p>
      <w:pPr>
        <w:spacing w:line="360" w:lineRule="auto" w:after="40"/>
        <w:ind w:left="709" w:hanging="283"/>
        <w:jc w:val="both"/>
      </w:pPr>
      <w:r>
        <w:rPr>
          <w:rFonts w:ascii="Times New Roman" w:hAnsi="Times New Roman"/>
          <w:sz w:val="24"/>
        </w:rPr>
        <w:t>• C = Consulted (dimintai pendapat)</w:t>
      </w:r>
    </w:p>
    <w:p>
      <w:pPr>
        <w:spacing w:line="360" w:lineRule="auto" w:after="40"/>
        <w:ind w:left="709" w:hanging="283"/>
        <w:jc w:val="both"/>
      </w:pPr>
      <w:r>
        <w:rPr>
          <w:rFonts w:ascii="Times New Roman" w:hAnsi="Times New Roman"/>
          <w:sz w:val="24"/>
        </w:rPr>
        <w:t>• I = Informed (diberikan informasi)</w:t>
      </w:r>
    </w:p>
    <w:p>
      <w:pPr>
        <w:spacing w:line="360" w:lineRule="auto" w:after="120"/>
        <w:ind w:firstLine="709"/>
        <w:jc w:val="both"/>
      </w:pPr>
      <w:r>
        <w:rPr>
          <w:rFonts w:ascii="Times New Roman" w:hAnsi="Times New Roman"/>
          <w:b w:val="0"/>
          <w:i w:val="0"/>
          <w:sz w:val="24"/>
        </w:rPr>
      </w:r>
      <w:r>
        <w:rPr>
          <w:rFonts w:ascii="Times New Roman" w:hAnsi="Times New Roman"/>
          <w:i/>
          <w:sz w:val="24"/>
        </w:rPr>
        <w:t>Kuesioner ini disusun berdasarkan framework COBIT 2019 untuk mengukur capability level pada 5 domain yang dipilih.</w:t>
      </w:r>
      <w:r>
        <w:rPr>
          <w:rFonts w:ascii="Times New Roman" w:hAnsi="Times New Roman"/>
          <w:b w:val="0"/>
          <w:i w:val="0"/>
          <w:sz w:val="24"/>
        </w:rPr>
      </w:r>
    </w:p>
    <w:p>
      <w:r>
        <w:br w:type="page"/>
      </w:r>
    </w:p>
    <w:p>
      <w:pPr>
        <w:spacing w:line="360" w:lineRule="auto" w:after="0"/>
        <w:jc w:val="center"/>
      </w:pPr>
      <w:r>
        <w:rPr>
          <w:rFonts w:ascii="Times New Roman" w:hAnsi="Times New Roman"/>
          <w:b/>
          <w:sz w:val="28"/>
        </w:rPr>
        <w:t>Lampiran 2</w:t>
      </w:r>
    </w:p>
    <w:p>
      <w:pPr>
        <w:spacing w:line="360" w:lineRule="auto" w:after="360"/>
        <w:jc w:val="center"/>
      </w:pPr>
      <w:r>
        <w:rPr>
          <w:rFonts w:ascii="Times New Roman" w:hAnsi="Times New Roman"/>
          <w:b/>
          <w:sz w:val="28"/>
        </w:rPr>
        <w:t>Tabulasi Data Responden</w:t>
      </w:r>
    </w:p>
    <w:p>
      <w:pPr>
        <w:spacing w:line="360" w:lineRule="auto" w:after="120"/>
        <w:ind w:firstLine="709"/>
        <w:jc w:val="both"/>
      </w:pPr>
      <w:r>
        <w:rPr>
          <w:rFonts w:ascii="Times New Roman" w:hAnsi="Times New Roman"/>
          <w:b w:val="0"/>
          <w:i/>
          <w:sz w:val="24"/>
        </w:rPr>
        <w:t>Lampiran ini menyajikan rekapitulasi jawaban kuesioner dari kedelapan responden (R1–R8) beserta nilai total dan rata-rata (mean) untuk setiap pernyataan, yang menjadi dasar perhitungan capability level pada Lampiran 3.</w:t>
      </w:r>
    </w:p>
    <w:tbl>
      <w:tblPr>
        <w:tblStyle w:val="TableGrid"/>
        <w:tblW w:type="auto" w:w="0"/>
        <w:jc w:val="center"/>
        <w:tblLayout w:type="autofit"/>
        <w:tblLook w:firstColumn="1" w:firstRow="1" w:lastColumn="0" w:lastRow="0" w:noHBand="0" w:noVBand="1" w:val="04A0"/>
        <w:tblW w:w="5000" w:type="pct"/>
      </w:tblPr>
      <w:tblGrid>
        <w:gridCol w:w="680"/>
        <w:gridCol w:w="2055"/>
        <w:gridCol w:w="2055"/>
        <w:gridCol w:w="2055"/>
      </w:tblGrid>
      <w:tr>
        <w:tc>
          <w:tcPr>
            <w:tcW w:type="dxa" w:w="680"/>
          </w:tcPr>
          <w:p>
            <w:pPr>
              <w:spacing w:line="240" w:lineRule="auto" w:after="40" w:before="40"/>
              <w:jc w:val="center"/>
            </w:pPr>
            <w:r>
              <w:rPr>
                <w:rFonts w:ascii="Times New Roman" w:hAnsi="Times New Roman"/>
                <w:b/>
                <w:sz w:val="20"/>
              </w:rPr>
              <w:t>No</w:t>
            </w:r>
          </w:p>
        </w:tc>
        <w:tc>
          <w:tcPr>
            <w:tcW w:type="dxa" w:w="2055"/>
          </w:tcPr>
          <w:p>
            <w:pPr>
              <w:spacing w:line="240" w:lineRule="auto" w:after="40" w:before="40"/>
              <w:jc w:val="center"/>
            </w:pPr>
            <w:r>
              <w:rPr>
                <w:rFonts w:ascii="Times New Roman" w:hAnsi="Times New Roman"/>
                <w:b/>
                <w:sz w:val="20"/>
              </w:rPr>
              <w:t>Inisial</w:t>
            </w:r>
          </w:p>
        </w:tc>
        <w:tc>
          <w:tcPr>
            <w:tcW w:type="dxa" w:w="2055"/>
          </w:tcPr>
          <w:p>
            <w:pPr>
              <w:spacing w:line="240" w:lineRule="auto" w:after="40" w:before="40"/>
              <w:jc w:val="center"/>
            </w:pPr>
            <w:r>
              <w:rPr>
                <w:rFonts w:ascii="Times New Roman" w:hAnsi="Times New Roman"/>
                <w:b/>
                <w:sz w:val="20"/>
              </w:rPr>
              <w:t>Jabatan/Peran</w:t>
            </w:r>
          </w:p>
        </w:tc>
        <w:tc>
          <w:tcPr>
            <w:tcW w:type="dxa" w:w="2055"/>
          </w:tcPr>
          <w:p>
            <w:pPr>
              <w:spacing w:line="240" w:lineRule="auto" w:after="40" w:before="40"/>
              <w:jc w:val="center"/>
            </w:pPr>
            <w:r>
              <w:rPr>
                <w:rFonts w:ascii="Times New Roman" w:hAnsi="Times New Roman"/>
                <w:b/>
                <w:sz w:val="20"/>
              </w:rPr>
              <w:t>Departemen</w:t>
            </w:r>
          </w:p>
        </w:tc>
      </w:tr>
      <w:tr>
        <w:tc>
          <w:tcPr>
            <w:tcW w:type="dxa" w:w="680"/>
          </w:tcPr>
          <w:p>
            <w:pPr>
              <w:spacing w:line="240" w:lineRule="auto" w:after="40" w:before="40"/>
              <w:jc w:val="left"/>
            </w:pPr>
            <w:r>
              <w:rPr>
                <w:rFonts w:ascii="Times New Roman" w:hAnsi="Times New Roman"/>
                <w:sz w:val="20"/>
              </w:rPr>
              <w:t>R1</w:t>
            </w:r>
          </w:p>
        </w:tc>
        <w:tc>
          <w:tcPr>
            <w:tcW w:type="dxa" w:w="2055"/>
          </w:tcPr>
          <w:p>
            <w:pPr>
              <w:spacing w:line="240" w:lineRule="auto" w:after="40" w:before="40"/>
              <w:jc w:val="left"/>
            </w:pPr>
            <w:r>
              <w:rPr>
                <w:rFonts w:ascii="Times New Roman" w:hAnsi="Times New Roman"/>
                <w:sz w:val="20"/>
              </w:rPr>
              <w:t>AW</w:t>
            </w:r>
          </w:p>
        </w:tc>
        <w:tc>
          <w:tcPr>
            <w:tcW w:type="dxa" w:w="2055"/>
          </w:tcPr>
          <w:p>
            <w:pPr>
              <w:spacing w:line="240" w:lineRule="auto" w:after="40" w:before="40"/>
              <w:jc w:val="left"/>
            </w:pPr>
            <w:r>
              <w:rPr>
                <w:rFonts w:ascii="Times New Roman" w:hAnsi="Times New Roman"/>
                <w:sz w:val="20"/>
              </w:rPr>
              <w:t>Kepala Divisi IT</w:t>
            </w:r>
          </w:p>
        </w:tc>
        <w:tc>
          <w:tcPr>
            <w:tcW w:type="dxa" w:w="2055"/>
          </w:tcPr>
          <w:p>
            <w:pPr>
              <w:spacing w:line="240" w:lineRule="auto" w:after="40" w:before="40"/>
              <w:jc w:val="left"/>
            </w:pPr>
            <w:r>
              <w:rPr>
                <w:rFonts w:ascii="Times New Roman" w:hAnsi="Times New Roman"/>
                <w:sz w:val="20"/>
              </w:rPr>
              <w:t>IT</w:t>
            </w:r>
          </w:p>
        </w:tc>
      </w:tr>
      <w:tr>
        <w:tc>
          <w:tcPr>
            <w:tcW w:type="dxa" w:w="680"/>
          </w:tcPr>
          <w:p>
            <w:pPr>
              <w:spacing w:line="240" w:lineRule="auto" w:after="40" w:before="40"/>
              <w:jc w:val="left"/>
            </w:pPr>
            <w:r>
              <w:rPr>
                <w:rFonts w:ascii="Times New Roman" w:hAnsi="Times New Roman"/>
                <w:sz w:val="20"/>
              </w:rPr>
              <w:t>R2</w:t>
            </w:r>
          </w:p>
        </w:tc>
        <w:tc>
          <w:tcPr>
            <w:tcW w:type="dxa" w:w="2055"/>
          </w:tcPr>
          <w:p>
            <w:pPr>
              <w:spacing w:line="240" w:lineRule="auto" w:after="40" w:before="40"/>
              <w:jc w:val="left"/>
            </w:pPr>
            <w:r>
              <w:rPr>
                <w:rFonts w:ascii="Times New Roman" w:hAnsi="Times New Roman"/>
                <w:sz w:val="20"/>
              </w:rPr>
              <w:t>BH</w:t>
            </w:r>
          </w:p>
        </w:tc>
        <w:tc>
          <w:tcPr>
            <w:tcW w:type="dxa" w:w="2055"/>
          </w:tcPr>
          <w:p>
            <w:pPr>
              <w:spacing w:line="240" w:lineRule="auto" w:after="40" w:before="40"/>
              <w:jc w:val="left"/>
            </w:pPr>
            <w:r>
              <w:rPr>
                <w:rFonts w:ascii="Times New Roman" w:hAnsi="Times New Roman"/>
                <w:sz w:val="20"/>
              </w:rPr>
              <w:t>Senior Web Developer</w:t>
            </w:r>
          </w:p>
        </w:tc>
        <w:tc>
          <w:tcPr>
            <w:tcW w:type="dxa" w:w="2055"/>
          </w:tcPr>
          <w:p>
            <w:pPr>
              <w:spacing w:line="240" w:lineRule="auto" w:after="40" w:before="40"/>
              <w:jc w:val="left"/>
            </w:pPr>
            <w:r>
              <w:rPr>
                <w:rFonts w:ascii="Times New Roman" w:hAnsi="Times New Roman"/>
                <w:sz w:val="20"/>
              </w:rPr>
              <w:t>Digital Marketing (Web Dev &amp; SEO)</w:t>
            </w:r>
          </w:p>
        </w:tc>
      </w:tr>
      <w:tr>
        <w:tc>
          <w:tcPr>
            <w:tcW w:type="dxa" w:w="680"/>
          </w:tcPr>
          <w:p>
            <w:pPr>
              <w:spacing w:line="240" w:lineRule="auto" w:after="40" w:before="40"/>
              <w:jc w:val="left"/>
            </w:pPr>
            <w:r>
              <w:rPr>
                <w:rFonts w:ascii="Times New Roman" w:hAnsi="Times New Roman"/>
                <w:sz w:val="20"/>
              </w:rPr>
              <w:t>R3</w:t>
            </w:r>
          </w:p>
        </w:tc>
        <w:tc>
          <w:tcPr>
            <w:tcW w:type="dxa" w:w="2055"/>
          </w:tcPr>
          <w:p>
            <w:pPr>
              <w:spacing w:line="240" w:lineRule="auto" w:after="40" w:before="40"/>
              <w:jc w:val="left"/>
            </w:pPr>
            <w:r>
              <w:rPr>
                <w:rFonts w:ascii="Times New Roman" w:hAnsi="Times New Roman"/>
                <w:sz w:val="20"/>
              </w:rPr>
              <w:t>CS</w:t>
            </w:r>
          </w:p>
        </w:tc>
        <w:tc>
          <w:tcPr>
            <w:tcW w:type="dxa" w:w="2055"/>
          </w:tcPr>
          <w:p>
            <w:pPr>
              <w:spacing w:line="240" w:lineRule="auto" w:after="40" w:before="40"/>
              <w:jc w:val="left"/>
            </w:pPr>
            <w:r>
              <w:rPr>
                <w:rFonts w:ascii="Times New Roman" w:hAnsi="Times New Roman"/>
                <w:sz w:val="20"/>
              </w:rPr>
              <w:t>Junior Web Developer</w:t>
            </w:r>
          </w:p>
        </w:tc>
        <w:tc>
          <w:tcPr>
            <w:tcW w:type="dxa" w:w="2055"/>
          </w:tcPr>
          <w:p>
            <w:pPr>
              <w:spacing w:line="240" w:lineRule="auto" w:after="40" w:before="40"/>
              <w:jc w:val="left"/>
            </w:pPr>
            <w:r>
              <w:rPr>
                <w:rFonts w:ascii="Times New Roman" w:hAnsi="Times New Roman"/>
                <w:sz w:val="20"/>
              </w:rPr>
              <w:t>Digital Marketing (Web Dev &amp; SEO)</w:t>
            </w:r>
          </w:p>
        </w:tc>
      </w:tr>
      <w:tr>
        <w:tc>
          <w:tcPr>
            <w:tcW w:type="dxa" w:w="680"/>
          </w:tcPr>
          <w:p>
            <w:pPr>
              <w:spacing w:line="240" w:lineRule="auto" w:after="40" w:before="40"/>
              <w:jc w:val="left"/>
            </w:pPr>
            <w:r>
              <w:rPr>
                <w:rFonts w:ascii="Times New Roman" w:hAnsi="Times New Roman"/>
                <w:sz w:val="20"/>
              </w:rPr>
              <w:t>R4</w:t>
            </w:r>
          </w:p>
        </w:tc>
        <w:tc>
          <w:tcPr>
            <w:tcW w:type="dxa" w:w="2055"/>
          </w:tcPr>
          <w:p>
            <w:pPr>
              <w:spacing w:line="240" w:lineRule="auto" w:after="40" w:before="40"/>
              <w:jc w:val="left"/>
            </w:pPr>
            <w:r>
              <w:rPr>
                <w:rFonts w:ascii="Times New Roman" w:hAnsi="Times New Roman"/>
                <w:sz w:val="20"/>
              </w:rPr>
              <w:t>DK</w:t>
            </w:r>
          </w:p>
        </w:tc>
        <w:tc>
          <w:tcPr>
            <w:tcW w:type="dxa" w:w="2055"/>
          </w:tcPr>
          <w:p>
            <w:pPr>
              <w:spacing w:line="240" w:lineRule="auto" w:after="40" w:before="40"/>
              <w:jc w:val="left"/>
            </w:pPr>
            <w:r>
              <w:rPr>
                <w:rFonts w:ascii="Times New Roman" w:hAnsi="Times New Roman"/>
                <w:sz w:val="20"/>
              </w:rPr>
              <w:t>Content &amp; SEO Specialist</w:t>
            </w:r>
          </w:p>
        </w:tc>
        <w:tc>
          <w:tcPr>
            <w:tcW w:type="dxa" w:w="2055"/>
          </w:tcPr>
          <w:p>
            <w:pPr>
              <w:spacing w:line="240" w:lineRule="auto" w:after="40" w:before="40"/>
              <w:jc w:val="left"/>
            </w:pPr>
            <w:r>
              <w:rPr>
                <w:rFonts w:ascii="Times New Roman" w:hAnsi="Times New Roman"/>
                <w:sz w:val="20"/>
              </w:rPr>
              <w:t>Digital Marketing (Web Dev &amp; SEO)</w:t>
            </w:r>
          </w:p>
        </w:tc>
      </w:tr>
      <w:tr>
        <w:tc>
          <w:tcPr>
            <w:tcW w:type="dxa" w:w="680"/>
          </w:tcPr>
          <w:p>
            <w:pPr>
              <w:spacing w:line="240" w:lineRule="auto" w:after="40" w:before="40"/>
              <w:jc w:val="left"/>
            </w:pPr>
            <w:r>
              <w:rPr>
                <w:rFonts w:ascii="Times New Roman" w:hAnsi="Times New Roman"/>
                <w:sz w:val="20"/>
              </w:rPr>
              <w:t>R5</w:t>
            </w:r>
          </w:p>
        </w:tc>
        <w:tc>
          <w:tcPr>
            <w:tcW w:type="dxa" w:w="2055"/>
          </w:tcPr>
          <w:p>
            <w:pPr>
              <w:spacing w:line="240" w:lineRule="auto" w:after="40" w:before="40"/>
              <w:jc w:val="left"/>
            </w:pPr>
            <w:r>
              <w:rPr>
                <w:rFonts w:ascii="Times New Roman" w:hAnsi="Times New Roman"/>
                <w:sz w:val="20"/>
              </w:rPr>
              <w:t>EP</w:t>
            </w:r>
          </w:p>
        </w:tc>
        <w:tc>
          <w:tcPr>
            <w:tcW w:type="dxa" w:w="2055"/>
          </w:tcPr>
          <w:p>
            <w:pPr>
              <w:spacing w:line="240" w:lineRule="auto" w:after="40" w:before="40"/>
              <w:jc w:val="left"/>
            </w:pPr>
            <w:r>
              <w:rPr>
                <w:rFonts w:ascii="Times New Roman" w:hAnsi="Times New Roman"/>
                <w:sz w:val="20"/>
              </w:rPr>
              <w:t>Staff IT Support</w:t>
            </w:r>
          </w:p>
        </w:tc>
        <w:tc>
          <w:tcPr>
            <w:tcW w:type="dxa" w:w="2055"/>
          </w:tcPr>
          <w:p>
            <w:pPr>
              <w:spacing w:line="240" w:lineRule="auto" w:after="40" w:before="40"/>
              <w:jc w:val="left"/>
            </w:pPr>
            <w:r>
              <w:rPr>
                <w:rFonts w:ascii="Times New Roman" w:hAnsi="Times New Roman"/>
                <w:sz w:val="20"/>
              </w:rPr>
              <w:t>IT</w:t>
            </w:r>
          </w:p>
        </w:tc>
      </w:tr>
      <w:tr>
        <w:tc>
          <w:tcPr>
            <w:tcW w:type="dxa" w:w="680"/>
          </w:tcPr>
          <w:p>
            <w:pPr>
              <w:spacing w:line="240" w:lineRule="auto" w:after="40" w:before="40"/>
              <w:jc w:val="left"/>
            </w:pPr>
            <w:r>
              <w:rPr>
                <w:rFonts w:ascii="Times New Roman" w:hAnsi="Times New Roman"/>
                <w:sz w:val="20"/>
              </w:rPr>
              <w:t>R6</w:t>
            </w:r>
          </w:p>
        </w:tc>
        <w:tc>
          <w:tcPr>
            <w:tcW w:type="dxa" w:w="2055"/>
          </w:tcPr>
          <w:p>
            <w:pPr>
              <w:spacing w:line="240" w:lineRule="auto" w:after="40" w:before="40"/>
              <w:jc w:val="left"/>
            </w:pPr>
            <w:r>
              <w:rPr>
                <w:rFonts w:ascii="Times New Roman" w:hAnsi="Times New Roman"/>
                <w:sz w:val="20"/>
              </w:rPr>
              <w:t>FR</w:t>
            </w:r>
          </w:p>
        </w:tc>
        <w:tc>
          <w:tcPr>
            <w:tcW w:type="dxa" w:w="2055"/>
          </w:tcPr>
          <w:p>
            <w:pPr>
              <w:spacing w:line="240" w:lineRule="auto" w:after="40" w:before="40"/>
              <w:jc w:val="left"/>
            </w:pPr>
            <w:r>
              <w:rPr>
                <w:rFonts w:ascii="Times New Roman" w:hAnsi="Times New Roman"/>
                <w:sz w:val="20"/>
              </w:rPr>
              <w:t>Digital Marketing Specialist</w:t>
            </w:r>
          </w:p>
        </w:tc>
        <w:tc>
          <w:tcPr>
            <w:tcW w:type="dxa" w:w="2055"/>
          </w:tcPr>
          <w:p>
            <w:pPr>
              <w:spacing w:line="240" w:lineRule="auto" w:after="40" w:before="40"/>
              <w:jc w:val="left"/>
            </w:pPr>
            <w:r>
              <w:rPr>
                <w:rFonts w:ascii="Times New Roman" w:hAnsi="Times New Roman"/>
                <w:sz w:val="20"/>
              </w:rPr>
              <w:t>Digital Marketing</w:t>
            </w:r>
          </w:p>
        </w:tc>
      </w:tr>
      <w:tr>
        <w:tc>
          <w:tcPr>
            <w:tcW w:type="dxa" w:w="680"/>
          </w:tcPr>
          <w:p>
            <w:pPr>
              <w:spacing w:line="240" w:lineRule="auto" w:after="40" w:before="40"/>
              <w:jc w:val="left"/>
            </w:pPr>
            <w:r>
              <w:rPr>
                <w:rFonts w:ascii="Times New Roman" w:hAnsi="Times New Roman"/>
                <w:sz w:val="20"/>
              </w:rPr>
              <w:t>R7</w:t>
            </w:r>
          </w:p>
        </w:tc>
        <w:tc>
          <w:tcPr>
            <w:tcW w:type="dxa" w:w="2055"/>
          </w:tcPr>
          <w:p>
            <w:pPr>
              <w:spacing w:line="240" w:lineRule="auto" w:after="40" w:before="40"/>
              <w:jc w:val="left"/>
            </w:pPr>
            <w:r>
              <w:rPr>
                <w:rFonts w:ascii="Times New Roman" w:hAnsi="Times New Roman"/>
                <w:sz w:val="20"/>
              </w:rPr>
              <w:t>GS</w:t>
            </w:r>
          </w:p>
        </w:tc>
        <w:tc>
          <w:tcPr>
            <w:tcW w:type="dxa" w:w="2055"/>
          </w:tcPr>
          <w:p>
            <w:pPr>
              <w:spacing w:line="240" w:lineRule="auto" w:after="40" w:before="40"/>
              <w:jc w:val="left"/>
            </w:pPr>
            <w:r>
              <w:rPr>
                <w:rFonts w:ascii="Times New Roman" w:hAnsi="Times New Roman"/>
                <w:sz w:val="20"/>
              </w:rPr>
              <w:t>Staff Finance (Admin Sistem)</w:t>
            </w:r>
          </w:p>
        </w:tc>
        <w:tc>
          <w:tcPr>
            <w:tcW w:type="dxa" w:w="2055"/>
          </w:tcPr>
          <w:p>
            <w:pPr>
              <w:spacing w:line="240" w:lineRule="auto" w:after="40" w:before="40"/>
              <w:jc w:val="left"/>
            </w:pPr>
            <w:r>
              <w:rPr>
                <w:rFonts w:ascii="Times New Roman" w:hAnsi="Times New Roman"/>
                <w:sz w:val="20"/>
              </w:rPr>
              <w:t>Finance</w:t>
            </w:r>
          </w:p>
        </w:tc>
      </w:tr>
      <w:tr>
        <w:tc>
          <w:tcPr>
            <w:tcW w:type="dxa" w:w="680"/>
          </w:tcPr>
          <w:p>
            <w:pPr>
              <w:spacing w:line="240" w:lineRule="auto" w:after="40" w:before="40"/>
              <w:jc w:val="left"/>
            </w:pPr>
            <w:r>
              <w:rPr>
                <w:rFonts w:ascii="Times New Roman" w:hAnsi="Times New Roman"/>
                <w:sz w:val="20"/>
              </w:rPr>
              <w:t>R8</w:t>
            </w:r>
          </w:p>
        </w:tc>
        <w:tc>
          <w:tcPr>
            <w:tcW w:type="dxa" w:w="2055"/>
          </w:tcPr>
          <w:p>
            <w:pPr>
              <w:spacing w:line="240" w:lineRule="auto" w:after="40" w:before="40"/>
              <w:jc w:val="left"/>
            </w:pPr>
            <w:r>
              <w:rPr>
                <w:rFonts w:ascii="Times New Roman" w:hAnsi="Times New Roman"/>
                <w:sz w:val="20"/>
              </w:rPr>
              <w:t>HL</w:t>
            </w:r>
          </w:p>
        </w:tc>
        <w:tc>
          <w:tcPr>
            <w:tcW w:type="dxa" w:w="2055"/>
          </w:tcPr>
          <w:p>
            <w:pPr>
              <w:spacing w:line="240" w:lineRule="auto" w:after="40" w:before="40"/>
              <w:jc w:val="left"/>
            </w:pPr>
            <w:r>
              <w:rPr>
                <w:rFonts w:ascii="Times New Roman" w:hAnsi="Times New Roman"/>
                <w:sz w:val="20"/>
              </w:rPr>
              <w:t>Staff HR (Kebijakan TI)</w:t>
            </w:r>
          </w:p>
        </w:tc>
        <w:tc>
          <w:tcPr>
            <w:tcW w:type="dxa" w:w="2055"/>
          </w:tcPr>
          <w:p>
            <w:pPr>
              <w:spacing w:line="240" w:lineRule="auto" w:after="40" w:before="40"/>
              <w:jc w:val="left"/>
            </w:pPr>
            <w:r>
              <w:rPr>
                <w:rFonts w:ascii="Times New Roman" w:hAnsi="Times New Roman"/>
                <w:sz w:val="20"/>
              </w:rPr>
              <w:t>Human Resources</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Total Responden:</w:t>
      </w:r>
      <w:r>
        <w:rPr>
          <w:rFonts w:ascii="Times New Roman" w:hAnsi="Times New Roman"/>
          <w:b w:val="0"/>
          <w:i w:val="0"/>
          <w:sz w:val="24"/>
        </w:rPr>
        <w:t xml:space="preserve"> 8 orang</w:t>
      </w:r>
    </w:p>
    <w:p>
      <w:pPr>
        <w:pStyle w:val="Heading2"/>
      </w:pPr>
      <w:r>
        <w:t>Tabulasi Jawaban Kuesioner</w:t>
      </w:r>
    </w:p>
    <w:p>
      <w:pPr>
        <w:pStyle w:val="Heading3"/>
      </w:pPr>
      <w:r>
        <w:t>Domain APO12 — Managed Risk</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685"/>
          </w:tcPr>
          <w:p>
            <w:pPr>
              <w:spacing w:line="240" w:lineRule="auto" w:after="40" w:before="40"/>
              <w:jc w:val="left"/>
            </w:pPr>
            <w:r>
              <w:rPr>
                <w:rFonts w:ascii="Times New Roman" w:hAnsi="Times New Roman"/>
                <w:sz w:val="20"/>
              </w:rPr>
              <w:t>Identifikasi risiko TI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27</w:t>
            </w:r>
          </w:p>
        </w:tc>
        <w:tc>
          <w:tcPr>
            <w:tcW w:type="dxa" w:w="685"/>
          </w:tcPr>
          <w:p>
            <w:pPr>
              <w:spacing w:line="240" w:lineRule="auto" w:after="40" w:before="40"/>
              <w:jc w:val="left"/>
            </w:pPr>
            <w:r>
              <w:rPr>
                <w:rFonts w:ascii="Times New Roman" w:hAnsi="Times New Roman"/>
                <w:sz w:val="20"/>
              </w:rPr>
              <w:t>3.38</w:t>
            </w:r>
          </w:p>
        </w:tc>
      </w:tr>
      <w:tr>
        <w:tc>
          <w:tcPr>
            <w:tcW w:type="dxa" w:w="680"/>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Pengumpulan data analisis risiko</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25</w:t>
            </w:r>
          </w:p>
        </w:tc>
        <w:tc>
          <w:tcPr>
            <w:tcW w:type="dxa" w:w="685"/>
          </w:tcPr>
          <w:p>
            <w:pPr>
              <w:spacing w:line="240" w:lineRule="auto" w:after="40" w:before="40"/>
              <w:jc w:val="left"/>
            </w:pPr>
            <w:r>
              <w:rPr>
                <w:rFonts w:ascii="Times New Roman" w:hAnsi="Times New Roman"/>
                <w:sz w:val="20"/>
              </w:rPr>
              <w:t>3.13</w:t>
            </w:r>
          </w:p>
        </w:tc>
      </w:tr>
      <w:tr>
        <w:tc>
          <w:tcPr>
            <w:tcW w:type="dxa" w:w="680"/>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Dokumentasi risiko TI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21</w:t>
            </w:r>
          </w:p>
        </w:tc>
        <w:tc>
          <w:tcPr>
            <w:tcW w:type="dxa" w:w="685"/>
          </w:tcPr>
          <w:p>
            <w:pPr>
              <w:spacing w:line="240" w:lineRule="auto" w:after="40" w:before="40"/>
              <w:jc w:val="left"/>
            </w:pPr>
            <w:r>
              <w:rPr>
                <w:rFonts w:ascii="Times New Roman" w:hAnsi="Times New Roman"/>
                <w:sz w:val="20"/>
              </w:rPr>
              <w:t>2.63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(3.38 + 3.13 + 2.63) / 3 = </w:t>
      </w:r>
      <w:r>
        <w:rPr>
          <w:rFonts w:ascii="Times New Roman" w:hAnsi="Times New Roman"/>
          <w:b/>
          <w:sz w:val="24"/>
        </w:rPr>
        <w:t>3.04</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Perencanaan manajemen risiko</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23</w:t>
            </w:r>
          </w:p>
        </w:tc>
        <w:tc>
          <w:tcPr>
            <w:tcW w:type="dxa" w:w="685"/>
          </w:tcPr>
          <w:p>
            <w:pPr>
              <w:spacing w:line="240" w:lineRule="auto" w:after="40" w:before="40"/>
              <w:jc w:val="left"/>
            </w:pPr>
            <w:r>
              <w:rPr>
                <w:rFonts w:ascii="Times New Roman" w:hAnsi="Times New Roman"/>
                <w:sz w:val="20"/>
              </w:rPr>
              <w:t>2.88</w:t>
            </w:r>
          </w:p>
        </w:tc>
      </w:tr>
      <w:tr>
        <w:tc>
          <w:tcPr>
            <w:tcW w:type="dxa" w:w="680"/>
          </w:tcPr>
          <w:p>
            <w:pPr>
              <w:spacing w:line="240" w:lineRule="auto" w:after="40" w:before="40"/>
              <w:jc w:val="left"/>
            </w:pPr>
            <w:r>
              <w:rPr>
                <w:rFonts w:ascii="Times New Roman" w:hAnsi="Times New Roman"/>
                <w:sz w:val="20"/>
              </w:rPr>
              <w:t>5</w:t>
            </w:r>
          </w:p>
        </w:tc>
        <w:tc>
          <w:tcPr>
            <w:tcW w:type="dxa" w:w="685"/>
          </w:tcPr>
          <w:p>
            <w:pPr>
              <w:spacing w:line="240" w:lineRule="auto" w:after="40" w:before="40"/>
              <w:jc w:val="left"/>
            </w:pPr>
            <w:r>
              <w:rPr>
                <w:rFonts w:ascii="Times New Roman" w:hAnsi="Times New Roman"/>
                <w:sz w:val="20"/>
              </w:rPr>
              <w:t>Pemantauan dan pelaporan risiko</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6</w:t>
            </w:r>
          </w:p>
        </w:tc>
        <w:tc>
          <w:tcPr>
            <w:tcW w:type="dxa" w:w="685"/>
          </w:tcPr>
          <w:p>
            <w:pPr>
              <w:spacing w:line="240" w:lineRule="auto" w:after="40" w:before="40"/>
              <w:jc w:val="left"/>
            </w:pPr>
            <w:r>
              <w:rPr>
                <w:rFonts w:ascii="Times New Roman" w:hAnsi="Times New Roman"/>
                <w:sz w:val="20"/>
              </w:rPr>
              <w:t>Evaluasi hasil pengelolaan risiko</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(2.88 + 2.50 + 2.38) / 3 = </w:t>
      </w:r>
      <w:r>
        <w:rPr>
          <w:rFonts w:ascii="Times New Roman" w:hAnsi="Times New Roman"/>
          <w:b/>
          <w:sz w:val="24"/>
        </w:rPr>
        <w:t>2.58</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685"/>
          </w:tcPr>
          <w:p>
            <w:pPr>
              <w:spacing w:line="240" w:lineRule="auto" w:after="40" w:before="40"/>
              <w:jc w:val="left"/>
            </w:pPr>
            <w:r>
              <w:rPr>
                <w:rFonts w:ascii="Times New Roman" w:hAnsi="Times New Roman"/>
                <w:sz w:val="20"/>
              </w:rPr>
              <w:t>Prosedur standar manajemen risiko</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8</w:t>
            </w:r>
          </w:p>
        </w:tc>
        <w:tc>
          <w:tcPr>
            <w:tcW w:type="dxa" w:w="685"/>
          </w:tcPr>
          <w:p>
            <w:pPr>
              <w:spacing w:line="240" w:lineRule="auto" w:after="40" w:before="40"/>
              <w:jc w:val="left"/>
            </w:pPr>
            <w:r>
              <w:rPr>
                <w:rFonts w:ascii="Times New Roman" w:hAnsi="Times New Roman"/>
                <w:sz w:val="20"/>
              </w:rPr>
              <w:t>Implementasi konsisten lintas divisi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18</w:t>
            </w:r>
          </w:p>
        </w:tc>
        <w:tc>
          <w:tcPr>
            <w:tcW w:type="dxa" w:w="685"/>
          </w:tcPr>
          <w:p>
            <w:pPr>
              <w:spacing w:line="240" w:lineRule="auto" w:after="40" w:before="40"/>
              <w:jc w:val="left"/>
            </w:pPr>
            <w:r>
              <w:rPr>
                <w:rFonts w:ascii="Times New Roman" w:hAnsi="Times New Roman"/>
                <w:sz w:val="20"/>
              </w:rPr>
              <w:t>2.25</w:t>
            </w:r>
          </w:p>
        </w:tc>
      </w:tr>
      <w:tr>
        <w:tc>
          <w:tcPr>
            <w:tcW w:type="dxa" w:w="680"/>
          </w:tcPr>
          <w:p>
            <w:pPr>
              <w:spacing w:line="240" w:lineRule="auto" w:after="40" w:before="40"/>
              <w:jc w:val="left"/>
            </w:pPr>
            <w:r>
              <w:rPr>
                <w:rFonts w:ascii="Times New Roman" w:hAnsi="Times New Roman"/>
                <w:sz w:val="20"/>
              </w:rPr>
              <w:t>9</w:t>
            </w:r>
          </w:p>
        </w:tc>
        <w:tc>
          <w:tcPr>
            <w:tcW w:type="dxa" w:w="685"/>
          </w:tcPr>
          <w:p>
            <w:pPr>
              <w:spacing w:line="240" w:lineRule="auto" w:after="40" w:before="40"/>
              <w:jc w:val="left"/>
            </w:pPr>
            <w:r>
              <w:rPr>
                <w:rFonts w:ascii="Times New Roman" w:hAnsi="Times New Roman"/>
                <w:sz w:val="20"/>
              </w:rPr>
              <w:t>Dokumentasi formal kebijakan risiko</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17</w:t>
            </w:r>
          </w:p>
        </w:tc>
        <w:tc>
          <w:tcPr>
            <w:tcW w:type="dxa" w:w="685"/>
          </w:tcPr>
          <w:p>
            <w:pPr>
              <w:spacing w:line="240" w:lineRule="auto" w:after="40" w:before="40"/>
              <w:jc w:val="left"/>
            </w:pPr>
            <w:r>
              <w:rPr>
                <w:rFonts w:ascii="Times New Roman" w:hAnsi="Times New Roman"/>
                <w:sz w:val="20"/>
              </w:rPr>
              <w:t>2.13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(2.38 + 2.25 + 2.13) / 3 = </w:t>
      </w:r>
      <w:r>
        <w:rPr>
          <w:rFonts w:ascii="Times New Roman" w:hAnsi="Times New Roman"/>
          <w:b/>
          <w:sz w:val="24"/>
        </w:rPr>
        <w:t>2.25</w:t>
      </w:r>
      <w:r>
        <w:rPr>
          <w:rFonts w:ascii="Times New Roman" w:hAnsi="Times New Roman"/>
          <w:b w:val="0"/>
          <w:i w:val="0"/>
          <w:sz w:val="24"/>
        </w:rPr>
      </w:r>
    </w:p>
    <w:p>
      <w:pPr>
        <w:pStyle w:val="Heading3"/>
      </w:pPr>
      <w:r>
        <w:t>Domain APO13 — Managed Security</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685"/>
          </w:tcPr>
          <w:p>
            <w:pPr>
              <w:spacing w:line="240" w:lineRule="auto" w:after="40" w:before="40"/>
              <w:jc w:val="left"/>
            </w:pPr>
            <w:r>
              <w:rPr>
                <w:rFonts w:ascii="Times New Roman" w:hAnsi="Times New Roman"/>
                <w:sz w:val="20"/>
              </w:rPr>
              <w:t>Kebijakan keamanan informasi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27</w:t>
            </w:r>
          </w:p>
        </w:tc>
        <w:tc>
          <w:tcPr>
            <w:tcW w:type="dxa" w:w="685"/>
          </w:tcPr>
          <w:p>
            <w:pPr>
              <w:spacing w:line="240" w:lineRule="auto" w:after="40" w:before="40"/>
              <w:jc w:val="left"/>
            </w:pPr>
            <w:r>
              <w:rPr>
                <w:rFonts w:ascii="Times New Roman" w:hAnsi="Times New Roman"/>
                <w:sz w:val="20"/>
              </w:rPr>
              <w:t>3.38</w:t>
            </w:r>
          </w:p>
        </w:tc>
      </w:tr>
      <w:tr>
        <w:tc>
          <w:tcPr>
            <w:tcW w:type="dxa" w:w="680"/>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Mekanisme perlindungan akses</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28</w:t>
            </w:r>
          </w:p>
        </w:tc>
        <w:tc>
          <w:tcPr>
            <w:tcW w:type="dxa" w:w="685"/>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Sosialisasi kebijakan keamanan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23</w:t>
            </w:r>
          </w:p>
        </w:tc>
        <w:tc>
          <w:tcPr>
            <w:tcW w:type="dxa" w:w="685"/>
          </w:tcPr>
          <w:p>
            <w:pPr>
              <w:spacing w:line="240" w:lineRule="auto" w:after="40" w:before="40"/>
              <w:jc w:val="left"/>
            </w:pPr>
            <w:r>
              <w:rPr>
                <w:rFonts w:ascii="Times New Roman" w:hAnsi="Times New Roman"/>
                <w:sz w:val="20"/>
              </w:rPr>
              <w:t>2.88</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(3.38 + 3.50 + 2.88) / 3 = </w:t>
      </w:r>
      <w:r>
        <w:rPr>
          <w:rFonts w:ascii="Times New Roman" w:hAnsi="Times New Roman"/>
          <w:b/>
          <w:sz w:val="24"/>
        </w:rPr>
        <w:t>3.25</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Perencanaan pengelolaan keamanan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25</w:t>
            </w:r>
          </w:p>
        </w:tc>
        <w:tc>
          <w:tcPr>
            <w:tcW w:type="dxa" w:w="685"/>
          </w:tcPr>
          <w:p>
            <w:pPr>
              <w:spacing w:line="240" w:lineRule="auto" w:after="40" w:before="40"/>
              <w:jc w:val="left"/>
            </w:pPr>
            <w:r>
              <w:rPr>
                <w:rFonts w:ascii="Times New Roman" w:hAnsi="Times New Roman"/>
                <w:sz w:val="20"/>
              </w:rPr>
              <w:t>3.13</w:t>
            </w:r>
          </w:p>
        </w:tc>
      </w:tr>
      <w:tr>
        <w:tc>
          <w:tcPr>
            <w:tcW w:type="dxa" w:w="680"/>
          </w:tcPr>
          <w:p>
            <w:pPr>
              <w:spacing w:line="240" w:lineRule="auto" w:after="40" w:before="40"/>
              <w:jc w:val="left"/>
            </w:pPr>
            <w:r>
              <w:rPr>
                <w:rFonts w:ascii="Times New Roman" w:hAnsi="Times New Roman"/>
                <w:sz w:val="20"/>
              </w:rPr>
              <w:t>5</w:t>
            </w:r>
          </w:p>
        </w:tc>
        <w:tc>
          <w:tcPr>
            <w:tcW w:type="dxa" w:w="685"/>
          </w:tcPr>
          <w:p>
            <w:pPr>
              <w:spacing w:line="240" w:lineRule="auto" w:after="40" w:before="40"/>
              <w:jc w:val="left"/>
            </w:pPr>
            <w:r>
              <w:rPr>
                <w:rFonts w:ascii="Times New Roman" w:hAnsi="Times New Roman"/>
                <w:sz w:val="20"/>
              </w:rPr>
              <w:t>Pemantauan dan pelaporan keamanan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21</w:t>
            </w:r>
          </w:p>
        </w:tc>
        <w:tc>
          <w:tcPr>
            <w:tcW w:type="dxa" w:w="685"/>
          </w:tcPr>
          <w:p>
            <w:pPr>
              <w:spacing w:line="240" w:lineRule="auto" w:after="40" w:before="40"/>
              <w:jc w:val="left"/>
            </w:pPr>
            <w:r>
              <w:rPr>
                <w:rFonts w:ascii="Times New Roman" w:hAnsi="Times New Roman"/>
                <w:sz w:val="20"/>
              </w:rPr>
              <w:t>2.63</w:t>
            </w:r>
          </w:p>
        </w:tc>
      </w:tr>
      <w:tr>
        <w:tc>
          <w:tcPr>
            <w:tcW w:type="dxa" w:w="680"/>
          </w:tcPr>
          <w:p>
            <w:pPr>
              <w:spacing w:line="240" w:lineRule="auto" w:after="40" w:before="40"/>
              <w:jc w:val="left"/>
            </w:pPr>
            <w:r>
              <w:rPr>
                <w:rFonts w:ascii="Times New Roman" w:hAnsi="Times New Roman"/>
                <w:sz w:val="20"/>
              </w:rPr>
              <w:t>6</w:t>
            </w:r>
          </w:p>
        </w:tc>
        <w:tc>
          <w:tcPr>
            <w:tcW w:type="dxa" w:w="685"/>
          </w:tcPr>
          <w:p>
            <w:pPr>
              <w:spacing w:line="240" w:lineRule="auto" w:after="40" w:before="40"/>
              <w:jc w:val="left"/>
            </w:pPr>
            <w:r>
              <w:rPr>
                <w:rFonts w:ascii="Times New Roman" w:hAnsi="Times New Roman"/>
                <w:sz w:val="20"/>
              </w:rPr>
              <w:t>Evaluasi keamanan informasi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(3.13 + 2.63 + 2.38) / 3 = </w:t>
      </w:r>
      <w:r>
        <w:rPr>
          <w:rFonts w:ascii="Times New Roman" w:hAnsi="Times New Roman"/>
          <w:b/>
          <w:sz w:val="24"/>
        </w:rPr>
        <w:t>2.71</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685"/>
          </w:tcPr>
          <w:p>
            <w:pPr>
              <w:spacing w:line="240" w:lineRule="auto" w:after="40" w:before="40"/>
              <w:jc w:val="left"/>
            </w:pPr>
            <w:r>
              <w:rPr>
                <w:rFonts w:ascii="Times New Roman" w:hAnsi="Times New Roman"/>
                <w:sz w:val="20"/>
              </w:rPr>
              <w:t>Prosedur standar keamanan terdokumentasi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8</w:t>
            </w:r>
          </w:p>
        </w:tc>
        <w:tc>
          <w:tcPr>
            <w:tcW w:type="dxa" w:w="685"/>
          </w:tcPr>
          <w:p>
            <w:pPr>
              <w:spacing w:line="240" w:lineRule="auto" w:after="40" w:before="40"/>
              <w:jc w:val="left"/>
            </w:pPr>
            <w:r>
              <w:rPr>
                <w:rFonts w:ascii="Times New Roman" w:hAnsi="Times New Roman"/>
                <w:sz w:val="20"/>
              </w:rPr>
              <w:t>Konsistensi kebijakan di platform digital</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9</w:t>
            </w:r>
          </w:p>
        </w:tc>
        <w:tc>
          <w:tcPr>
            <w:tcW w:type="dxa" w:w="685"/>
          </w:tcPr>
          <w:p>
            <w:pPr>
              <w:spacing w:line="240" w:lineRule="auto" w:after="40" w:before="40"/>
              <w:jc w:val="left"/>
            </w:pPr>
            <w:r>
              <w:rPr>
                <w:rFonts w:ascii="Times New Roman" w:hAnsi="Times New Roman"/>
                <w:sz w:val="20"/>
              </w:rPr>
              <w:t>Program pelatihan keamanan terstandar</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17</w:t>
            </w:r>
          </w:p>
        </w:tc>
        <w:tc>
          <w:tcPr>
            <w:tcW w:type="dxa" w:w="685"/>
          </w:tcPr>
          <w:p>
            <w:pPr>
              <w:spacing w:line="240" w:lineRule="auto" w:after="40" w:before="40"/>
              <w:jc w:val="left"/>
            </w:pPr>
            <w:r>
              <w:rPr>
                <w:rFonts w:ascii="Times New Roman" w:hAnsi="Times New Roman"/>
                <w:sz w:val="20"/>
              </w:rPr>
              <w:t>2.13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(2.38 + 2.50 + 2.13) / 3 = </w:t>
      </w:r>
      <w:r>
        <w:rPr>
          <w:rFonts w:ascii="Times New Roman" w:hAnsi="Times New Roman"/>
          <w:b/>
          <w:sz w:val="24"/>
        </w:rPr>
        <w:t>2.33</w:t>
      </w:r>
      <w:r>
        <w:rPr>
          <w:rFonts w:ascii="Times New Roman" w:hAnsi="Times New Roman"/>
          <w:b w:val="0"/>
          <w:i w:val="0"/>
          <w:sz w:val="24"/>
        </w:rPr>
      </w:r>
    </w:p>
    <w:p>
      <w:pPr>
        <w:pStyle w:val="Heading3"/>
      </w:pPr>
      <w:r>
        <w:t>Domain BAI06 — Managed IT Changes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685"/>
          </w:tcPr>
          <w:p>
            <w:pPr>
              <w:spacing w:line="240" w:lineRule="auto" w:after="40" w:before="40"/>
              <w:jc w:val="left"/>
            </w:pPr>
            <w:r>
              <w:rPr>
                <w:rFonts w:ascii="Times New Roman" w:hAnsi="Times New Roman"/>
                <w:sz w:val="20"/>
              </w:rPr>
              <w:t>Pencatatan perubahan sistem TI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26</w:t>
            </w:r>
          </w:p>
        </w:tc>
        <w:tc>
          <w:tcPr>
            <w:tcW w:type="dxa" w:w="685"/>
          </w:tcPr>
          <w:p>
            <w:pPr>
              <w:spacing w:line="240" w:lineRule="auto" w:after="40" w:before="40"/>
              <w:jc w:val="left"/>
            </w:pPr>
            <w:r>
              <w:rPr>
                <w:rFonts w:ascii="Times New Roman" w:hAnsi="Times New Roman"/>
                <w:sz w:val="20"/>
              </w:rPr>
              <w:t>3.25</w:t>
            </w:r>
          </w:p>
        </w:tc>
      </w:tr>
      <w:tr>
        <w:tc>
          <w:tcPr>
            <w:tcW w:type="dxa" w:w="680"/>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Proses persetujuan sebelum perubahan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25</w:t>
            </w:r>
          </w:p>
        </w:tc>
        <w:tc>
          <w:tcPr>
            <w:tcW w:type="dxa" w:w="685"/>
          </w:tcPr>
          <w:p>
            <w:pPr>
              <w:spacing w:line="240" w:lineRule="auto" w:after="40" w:before="40"/>
              <w:jc w:val="left"/>
            </w:pPr>
            <w:r>
              <w:rPr>
                <w:rFonts w:ascii="Times New Roman" w:hAnsi="Times New Roman"/>
                <w:sz w:val="20"/>
              </w:rPr>
              <w:t>3.13</w:t>
            </w:r>
          </w:p>
        </w:tc>
      </w:tr>
      <w:tr>
        <w:tc>
          <w:tcPr>
            <w:tcW w:type="dxa" w:w="680"/>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Evaluasi dampak perubahan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24</w:t>
            </w:r>
          </w:p>
        </w:tc>
        <w:tc>
          <w:tcPr>
            <w:tcW w:type="dxa" w:w="685"/>
          </w:tcPr>
          <w:p>
            <w:pPr>
              <w:spacing w:line="240" w:lineRule="auto" w:after="40" w:before="40"/>
              <w:jc w:val="left"/>
            </w:pPr>
            <w:r>
              <w:rPr>
                <w:rFonts w:ascii="Times New Roman" w:hAnsi="Times New Roman"/>
                <w:sz w:val="20"/>
              </w:rPr>
              <w:t>3.00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(3.25 + 3.13 + 3.00) / 3 = </w:t>
      </w:r>
      <w:r>
        <w:rPr>
          <w:rFonts w:ascii="Times New Roman" w:hAnsi="Times New Roman"/>
          <w:b/>
          <w:sz w:val="24"/>
        </w:rPr>
        <w:t>3.13</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Perencanaan perubahan TI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24</w:t>
            </w:r>
          </w:p>
        </w:tc>
        <w:tc>
          <w:tcPr>
            <w:tcW w:type="dxa" w:w="685"/>
          </w:tcPr>
          <w:p>
            <w:pPr>
              <w:spacing w:line="240" w:lineRule="auto" w:after="40" w:before="40"/>
              <w:jc w:val="left"/>
            </w:pPr>
            <w:r>
              <w:rPr>
                <w:rFonts w:ascii="Times New Roman" w:hAnsi="Times New Roman"/>
                <w:sz w:val="20"/>
              </w:rPr>
              <w:t>3.00</w:t>
            </w:r>
          </w:p>
        </w:tc>
      </w:tr>
      <w:tr>
        <w:tc>
          <w:tcPr>
            <w:tcW w:type="dxa" w:w="680"/>
          </w:tcPr>
          <w:p>
            <w:pPr>
              <w:spacing w:line="240" w:lineRule="auto" w:after="40" w:before="40"/>
              <w:jc w:val="left"/>
            </w:pPr>
            <w:r>
              <w:rPr>
                <w:rFonts w:ascii="Times New Roman" w:hAnsi="Times New Roman"/>
                <w:sz w:val="20"/>
              </w:rPr>
              <w:t>5</w:t>
            </w:r>
          </w:p>
        </w:tc>
        <w:tc>
          <w:tcPr>
            <w:tcW w:type="dxa" w:w="685"/>
          </w:tcPr>
          <w:p>
            <w:pPr>
              <w:spacing w:line="240" w:lineRule="auto" w:after="40" w:before="40"/>
              <w:jc w:val="left"/>
            </w:pPr>
            <w:r>
              <w:rPr>
                <w:rFonts w:ascii="Times New Roman" w:hAnsi="Times New Roman"/>
                <w:sz w:val="20"/>
              </w:rPr>
              <w:t>Pemantauan dan pelaporan perubahan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6</w:t>
            </w:r>
          </w:p>
        </w:tc>
        <w:tc>
          <w:tcPr>
            <w:tcW w:type="dxa" w:w="685"/>
          </w:tcPr>
          <w:p>
            <w:pPr>
              <w:spacing w:line="240" w:lineRule="auto" w:after="40" w:before="40"/>
              <w:jc w:val="left"/>
            </w:pPr>
            <w:r>
              <w:rPr>
                <w:rFonts w:ascii="Times New Roman" w:hAnsi="Times New Roman"/>
                <w:sz w:val="20"/>
              </w:rPr>
              <w:t>Evaluasi pasca-implementasi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(3.00 + 2.50 + 2.50) / 3 = </w:t>
      </w:r>
      <w:r>
        <w:rPr>
          <w:rFonts w:ascii="Times New Roman" w:hAnsi="Times New Roman"/>
          <w:b/>
          <w:sz w:val="24"/>
        </w:rPr>
        <w:t>2.67</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685"/>
          </w:tcPr>
          <w:p>
            <w:pPr>
              <w:spacing w:line="240" w:lineRule="auto" w:after="40" w:before="40"/>
              <w:jc w:val="left"/>
            </w:pPr>
            <w:r>
              <w:rPr>
                <w:rFonts w:ascii="Times New Roman" w:hAnsi="Times New Roman"/>
                <w:sz w:val="20"/>
              </w:rPr>
              <w:t>Prosedur standar change management</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8</w:t>
            </w:r>
          </w:p>
        </w:tc>
        <w:tc>
          <w:tcPr>
            <w:tcW w:type="dxa" w:w="685"/>
          </w:tcPr>
          <w:p>
            <w:pPr>
              <w:spacing w:line="240" w:lineRule="auto" w:after="40" w:before="40"/>
              <w:jc w:val="left"/>
            </w:pPr>
            <w:r>
              <w:rPr>
                <w:rFonts w:ascii="Times New Roman" w:hAnsi="Times New Roman"/>
                <w:sz w:val="20"/>
              </w:rPr>
              <w:t>Konsistensi di seluruh proyek</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9</w:t>
            </w:r>
          </w:p>
        </w:tc>
        <w:tc>
          <w:tcPr>
            <w:tcW w:type="dxa" w:w="685"/>
          </w:tcPr>
          <w:p>
            <w:pPr>
              <w:spacing w:line="240" w:lineRule="auto" w:after="40" w:before="40"/>
              <w:jc w:val="left"/>
            </w:pPr>
            <w:r>
              <w:rPr>
                <w:rFonts w:ascii="Times New Roman" w:hAnsi="Times New Roman"/>
                <w:sz w:val="20"/>
              </w:rPr>
              <w:t>Dokumentasi lengkap siklus perubahan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18</w:t>
            </w:r>
          </w:p>
        </w:tc>
        <w:tc>
          <w:tcPr>
            <w:tcW w:type="dxa" w:w="685"/>
          </w:tcPr>
          <w:p>
            <w:pPr>
              <w:spacing w:line="240" w:lineRule="auto" w:after="40" w:before="40"/>
              <w:jc w:val="left"/>
            </w:pPr>
            <w:r>
              <w:rPr>
                <w:rFonts w:ascii="Times New Roman" w:hAnsi="Times New Roman"/>
                <w:sz w:val="20"/>
              </w:rPr>
              <w:t>2.25</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(2.38 + 2.38 + 2.25) / 3 = </w:t>
      </w:r>
      <w:r>
        <w:rPr>
          <w:rFonts w:ascii="Times New Roman" w:hAnsi="Times New Roman"/>
          <w:b/>
          <w:sz w:val="24"/>
        </w:rPr>
        <w:t>2.33</w:t>
      </w:r>
      <w:r>
        <w:rPr>
          <w:rFonts w:ascii="Times New Roman" w:hAnsi="Times New Roman"/>
          <w:b w:val="0"/>
          <w:i w:val="0"/>
          <w:sz w:val="24"/>
        </w:rPr>
      </w:r>
    </w:p>
    <w:p>
      <w:pPr>
        <w:pStyle w:val="Heading3"/>
      </w:pPr>
      <w:r>
        <w:t>Domain DSS01 — Managed Operations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685"/>
          </w:tcPr>
          <w:p>
            <w:pPr>
              <w:spacing w:line="240" w:lineRule="auto" w:after="40" w:before="40"/>
              <w:jc w:val="left"/>
            </w:pPr>
            <w:r>
              <w:rPr>
                <w:rFonts w:ascii="Times New Roman" w:hAnsi="Times New Roman"/>
                <w:sz w:val="20"/>
              </w:rPr>
              <w:t>Pemantauan rutin platform digital</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28</w:t>
            </w:r>
          </w:p>
        </w:tc>
        <w:tc>
          <w:tcPr>
            <w:tcW w:type="dxa" w:w="685"/>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Prosedur penanganan insiden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26</w:t>
            </w:r>
          </w:p>
        </w:tc>
        <w:tc>
          <w:tcPr>
            <w:tcW w:type="dxa" w:w="685"/>
          </w:tcPr>
          <w:p>
            <w:pPr>
              <w:spacing w:line="240" w:lineRule="auto" w:after="40" w:before="40"/>
              <w:jc w:val="left"/>
            </w:pPr>
            <w:r>
              <w:rPr>
                <w:rFonts w:ascii="Times New Roman" w:hAnsi="Times New Roman"/>
                <w:sz w:val="20"/>
              </w:rPr>
              <w:t>3.25</w:t>
            </w:r>
          </w:p>
        </w:tc>
      </w:tr>
      <w:tr>
        <w:tc>
          <w:tcPr>
            <w:tcW w:type="dxa" w:w="680"/>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Jadwal pemeliharaan rutin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26</w:t>
            </w:r>
          </w:p>
        </w:tc>
        <w:tc>
          <w:tcPr>
            <w:tcW w:type="dxa" w:w="685"/>
          </w:tcPr>
          <w:p>
            <w:pPr>
              <w:spacing w:line="240" w:lineRule="auto" w:after="40" w:before="40"/>
              <w:jc w:val="left"/>
            </w:pPr>
            <w:r>
              <w:rPr>
                <w:rFonts w:ascii="Times New Roman" w:hAnsi="Times New Roman"/>
                <w:sz w:val="20"/>
              </w:rPr>
              <w:t>3.25</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(3.50 + 3.25 + 3.25) / 3 = </w:t>
      </w:r>
      <w:r>
        <w:rPr>
          <w:rFonts w:ascii="Times New Roman" w:hAnsi="Times New Roman"/>
          <w:b/>
          <w:sz w:val="24"/>
        </w:rPr>
        <w:t>3.33</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Perencanaan operasional TI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25</w:t>
            </w:r>
          </w:p>
        </w:tc>
        <w:tc>
          <w:tcPr>
            <w:tcW w:type="dxa" w:w="685"/>
          </w:tcPr>
          <w:p>
            <w:pPr>
              <w:spacing w:line="240" w:lineRule="auto" w:after="40" w:before="40"/>
              <w:jc w:val="left"/>
            </w:pPr>
            <w:r>
              <w:rPr>
                <w:rFonts w:ascii="Times New Roman" w:hAnsi="Times New Roman"/>
                <w:sz w:val="20"/>
              </w:rPr>
              <w:t>3.13</w:t>
            </w:r>
          </w:p>
        </w:tc>
      </w:tr>
      <w:tr>
        <w:tc>
          <w:tcPr>
            <w:tcW w:type="dxa" w:w="680"/>
          </w:tcPr>
          <w:p>
            <w:pPr>
              <w:spacing w:line="240" w:lineRule="auto" w:after="40" w:before="40"/>
              <w:jc w:val="left"/>
            </w:pPr>
            <w:r>
              <w:rPr>
                <w:rFonts w:ascii="Times New Roman" w:hAnsi="Times New Roman"/>
                <w:sz w:val="20"/>
              </w:rPr>
              <w:t>5</w:t>
            </w:r>
          </w:p>
        </w:tc>
        <w:tc>
          <w:tcPr>
            <w:tcW w:type="dxa" w:w="685"/>
          </w:tcPr>
          <w:p>
            <w:pPr>
              <w:spacing w:line="240" w:lineRule="auto" w:after="40" w:before="40"/>
              <w:jc w:val="left"/>
            </w:pPr>
            <w:r>
              <w:rPr>
                <w:rFonts w:ascii="Times New Roman" w:hAnsi="Times New Roman"/>
                <w:sz w:val="20"/>
              </w:rPr>
              <w:t>Pemantauan kinerja dan pelaporan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22</w:t>
            </w:r>
          </w:p>
        </w:tc>
        <w:tc>
          <w:tcPr>
            <w:tcW w:type="dxa" w:w="685"/>
          </w:tcPr>
          <w:p>
            <w:pPr>
              <w:spacing w:line="240" w:lineRule="auto" w:after="40" w:before="40"/>
              <w:jc w:val="left"/>
            </w:pPr>
            <w:r>
              <w:rPr>
                <w:rFonts w:ascii="Times New Roman" w:hAnsi="Times New Roman"/>
                <w:sz w:val="20"/>
              </w:rPr>
              <w:t>2.75</w:t>
            </w:r>
          </w:p>
        </w:tc>
      </w:tr>
      <w:tr>
        <w:tc>
          <w:tcPr>
            <w:tcW w:type="dxa" w:w="680"/>
          </w:tcPr>
          <w:p>
            <w:pPr>
              <w:spacing w:line="240" w:lineRule="auto" w:after="40" w:before="40"/>
              <w:jc w:val="left"/>
            </w:pPr>
            <w:r>
              <w:rPr>
                <w:rFonts w:ascii="Times New Roman" w:hAnsi="Times New Roman"/>
                <w:sz w:val="20"/>
              </w:rPr>
              <w:t>6</w:t>
            </w:r>
          </w:p>
        </w:tc>
        <w:tc>
          <w:tcPr>
            <w:tcW w:type="dxa" w:w="685"/>
          </w:tcPr>
          <w:p>
            <w:pPr>
              <w:spacing w:line="240" w:lineRule="auto" w:after="40" w:before="40"/>
              <w:jc w:val="left"/>
            </w:pPr>
            <w:r>
              <w:rPr>
                <w:rFonts w:ascii="Times New Roman" w:hAnsi="Times New Roman"/>
                <w:sz w:val="20"/>
              </w:rPr>
              <w:t>Evaluasi operasional TI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(3.13 + 2.75 + 2.50) / 3 = </w:t>
      </w:r>
      <w:r>
        <w:rPr>
          <w:rFonts w:ascii="Times New Roman" w:hAnsi="Times New Roman"/>
          <w:b/>
          <w:sz w:val="24"/>
        </w:rPr>
        <w:t>2.79</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685"/>
          </w:tcPr>
          <w:p>
            <w:pPr>
              <w:spacing w:line="240" w:lineRule="auto" w:after="40" w:before="40"/>
              <w:jc w:val="left"/>
            </w:pPr>
            <w:r>
              <w:rPr>
                <w:rFonts w:ascii="Times New Roman" w:hAnsi="Times New Roman"/>
                <w:sz w:val="20"/>
              </w:rPr>
              <w:t>SOP operasional TI terdokumentasi</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8</w:t>
            </w:r>
          </w:p>
        </w:tc>
        <w:tc>
          <w:tcPr>
            <w:tcW w:type="dxa" w:w="685"/>
          </w:tcPr>
          <w:p>
            <w:pPr>
              <w:spacing w:line="240" w:lineRule="auto" w:after="40" w:before="40"/>
              <w:jc w:val="left"/>
            </w:pPr>
            <w:r>
              <w:rPr>
                <w:rFonts w:ascii="Times New Roman" w:hAnsi="Times New Roman"/>
                <w:sz w:val="20"/>
              </w:rPr>
              <w:t>Konsistensi penerapan SOP</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9</w:t>
            </w:r>
          </w:p>
        </w:tc>
        <w:tc>
          <w:tcPr>
            <w:tcW w:type="dxa" w:w="685"/>
          </w:tcPr>
          <w:p>
            <w:pPr>
              <w:spacing w:line="240" w:lineRule="auto" w:after="40" w:before="40"/>
              <w:jc w:val="left"/>
            </w:pPr>
            <w:r>
              <w:rPr>
                <w:rFonts w:ascii="Times New Roman" w:hAnsi="Times New Roman"/>
                <w:sz w:val="20"/>
              </w:rPr>
              <w:t>Mekanisme feedback pengguna</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(2.50 + 2.38 + 2.38) / 3 = </w:t>
      </w:r>
      <w:r>
        <w:rPr>
          <w:rFonts w:ascii="Times New Roman" w:hAnsi="Times New Roman"/>
          <w:b/>
          <w:sz w:val="24"/>
        </w:rPr>
        <w:t>2.42</w:t>
      </w:r>
      <w:r>
        <w:rPr>
          <w:rFonts w:ascii="Times New Roman" w:hAnsi="Times New Roman"/>
          <w:b w:val="0"/>
          <w:i w:val="0"/>
          <w:sz w:val="24"/>
        </w:rPr>
      </w:r>
    </w:p>
    <w:p>
      <w:pPr>
        <w:pStyle w:val="Heading3"/>
      </w:pPr>
      <w:r>
        <w:t>Domain DSS05 — Managed Security Services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685"/>
          </w:tcPr>
          <w:p>
            <w:pPr>
              <w:spacing w:line="240" w:lineRule="auto" w:after="40" w:before="40"/>
              <w:jc w:val="left"/>
            </w:pPr>
            <w:r>
              <w:rPr>
                <w:rFonts w:ascii="Times New Roman" w:hAnsi="Times New Roman"/>
                <w:sz w:val="20"/>
              </w:rPr>
              <w:t>Perlindungan malware dan ancaman siber</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27</w:t>
            </w:r>
          </w:p>
        </w:tc>
        <w:tc>
          <w:tcPr>
            <w:tcW w:type="dxa" w:w="685"/>
          </w:tcPr>
          <w:p>
            <w:pPr>
              <w:spacing w:line="240" w:lineRule="auto" w:after="40" w:before="40"/>
              <w:jc w:val="left"/>
            </w:pPr>
            <w:r>
              <w:rPr>
                <w:rFonts w:ascii="Times New Roman" w:hAnsi="Times New Roman"/>
                <w:sz w:val="20"/>
              </w:rPr>
              <w:t>3.38</w:t>
            </w:r>
          </w:p>
        </w:tc>
      </w:tr>
      <w:tr>
        <w:tc>
          <w:tcPr>
            <w:tcW w:type="dxa" w:w="680"/>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Pengelolaan hak akses (access control)</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28</w:t>
            </w:r>
          </w:p>
        </w:tc>
        <w:tc>
          <w:tcPr>
            <w:tcW w:type="dxa" w:w="685"/>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Pencadangan data (backup) rutin</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26</w:t>
            </w:r>
          </w:p>
        </w:tc>
        <w:tc>
          <w:tcPr>
            <w:tcW w:type="dxa" w:w="685"/>
          </w:tcPr>
          <w:p>
            <w:pPr>
              <w:spacing w:line="240" w:lineRule="auto" w:after="40" w:before="40"/>
              <w:jc w:val="left"/>
            </w:pPr>
            <w:r>
              <w:rPr>
                <w:rFonts w:ascii="Times New Roman" w:hAnsi="Times New Roman"/>
                <w:sz w:val="20"/>
              </w:rPr>
              <w:t>3.25</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(3.38 + 3.50 + 3.25) / 3 = </w:t>
      </w:r>
      <w:r>
        <w:rPr>
          <w:rFonts w:ascii="Times New Roman" w:hAnsi="Times New Roman"/>
          <w:b/>
          <w:sz w:val="24"/>
        </w:rPr>
        <w:t>3.38</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Perencanaan layanan keamanan TI</w:t>
            </w:r>
          </w:p>
        </w:tc>
        <w:tc>
          <w:tcPr>
            <w:tcW w:type="dxa" w:w="685"/>
          </w:tcPr>
          <w:p>
            <w:pPr>
              <w:spacing w:line="240" w:lineRule="auto" w:after="40" w:before="40"/>
              <w:jc w:val="left"/>
            </w:pPr>
            <w:r>
              <w:rPr>
                <w:rFonts w:ascii="Times New Roman" w:hAnsi="Times New Roman"/>
                <w:sz w:val="20"/>
              </w:rPr>
              <w:t>4</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23</w:t>
            </w:r>
          </w:p>
        </w:tc>
        <w:tc>
          <w:tcPr>
            <w:tcW w:type="dxa" w:w="685"/>
          </w:tcPr>
          <w:p>
            <w:pPr>
              <w:spacing w:line="240" w:lineRule="auto" w:after="40" w:before="40"/>
              <w:jc w:val="left"/>
            </w:pPr>
            <w:r>
              <w:rPr>
                <w:rFonts w:ascii="Times New Roman" w:hAnsi="Times New Roman"/>
                <w:sz w:val="20"/>
              </w:rPr>
              <w:t>2.88</w:t>
            </w:r>
          </w:p>
        </w:tc>
      </w:tr>
      <w:tr>
        <w:tc>
          <w:tcPr>
            <w:tcW w:type="dxa" w:w="680"/>
          </w:tcPr>
          <w:p>
            <w:pPr>
              <w:spacing w:line="240" w:lineRule="auto" w:after="40" w:before="40"/>
              <w:jc w:val="left"/>
            </w:pPr>
            <w:r>
              <w:rPr>
                <w:rFonts w:ascii="Times New Roman" w:hAnsi="Times New Roman"/>
                <w:sz w:val="20"/>
              </w:rPr>
              <w:t>5</w:t>
            </w:r>
          </w:p>
        </w:tc>
        <w:tc>
          <w:tcPr>
            <w:tcW w:type="dxa" w:w="685"/>
          </w:tcPr>
          <w:p>
            <w:pPr>
              <w:spacing w:line="240" w:lineRule="auto" w:after="40" w:before="40"/>
              <w:jc w:val="left"/>
            </w:pPr>
            <w:r>
              <w:rPr>
                <w:rFonts w:ascii="Times New Roman" w:hAnsi="Times New Roman"/>
                <w:sz w:val="20"/>
              </w:rPr>
              <w:t>Pemantauan dan pelaporan insiden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20</w:t>
            </w:r>
          </w:p>
        </w:tc>
        <w:tc>
          <w:tcPr>
            <w:tcW w:type="dxa" w:w="685"/>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6</w:t>
            </w:r>
          </w:p>
        </w:tc>
        <w:tc>
          <w:tcPr>
            <w:tcW w:type="dxa" w:w="685"/>
          </w:tcPr>
          <w:p>
            <w:pPr>
              <w:spacing w:line="240" w:lineRule="auto" w:after="40" w:before="40"/>
              <w:jc w:val="left"/>
            </w:pPr>
            <w:r>
              <w:rPr>
                <w:rFonts w:ascii="Times New Roman" w:hAnsi="Times New Roman"/>
                <w:sz w:val="20"/>
              </w:rPr>
              <w:t>Evaluasi efektivitas keamanan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(2.88 + 2.50 + 2.38) / 3 = </w:t>
      </w:r>
      <w:r>
        <w:rPr>
          <w:rFonts w:ascii="Times New Roman" w:hAnsi="Times New Roman"/>
          <w:b/>
          <w:sz w:val="24"/>
        </w:rPr>
        <w:t>2.58</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685"/>
        <w:gridCol w:w="685"/>
        <w:gridCol w:w="685"/>
        <w:gridCol w:w="685"/>
        <w:gridCol w:w="685"/>
        <w:gridCol w:w="685"/>
        <w:gridCol w:w="685"/>
        <w:gridCol w:w="685"/>
        <w:gridCol w:w="685"/>
        <w:gridCol w:w="685"/>
        <w:gridCol w:w="685"/>
      </w:tblGrid>
      <w:tr>
        <w:tc>
          <w:tcPr>
            <w:tcW w:type="dxa" w:w="680"/>
          </w:tcPr>
          <w:p>
            <w:pPr>
              <w:spacing w:line="240" w:lineRule="auto" w:after="40" w:before="40"/>
              <w:jc w:val="center"/>
            </w:pPr>
            <w:r>
              <w:rPr>
                <w:rFonts w:ascii="Times New Roman" w:hAnsi="Times New Roman"/>
                <w:b/>
                <w:sz w:val="20"/>
              </w:rPr>
              <w:t>No</w:t>
            </w:r>
          </w:p>
        </w:tc>
        <w:tc>
          <w:tcPr>
            <w:tcW w:type="dxa" w:w="685"/>
          </w:tcPr>
          <w:p>
            <w:pPr>
              <w:spacing w:line="240" w:lineRule="auto" w:after="40" w:before="40"/>
              <w:jc w:val="center"/>
            </w:pPr>
            <w:r>
              <w:rPr>
                <w:rFonts w:ascii="Times New Roman" w:hAnsi="Times New Roman"/>
                <w:b/>
                <w:sz w:val="20"/>
              </w:rPr>
              <w:t>Pernyataan</w:t>
            </w:r>
          </w:p>
        </w:tc>
        <w:tc>
          <w:tcPr>
            <w:tcW w:type="dxa" w:w="685"/>
          </w:tcPr>
          <w:p>
            <w:pPr>
              <w:spacing w:line="240" w:lineRule="auto" w:after="40" w:before="40"/>
              <w:jc w:val="center"/>
            </w:pPr>
            <w:r>
              <w:rPr>
                <w:rFonts w:ascii="Times New Roman" w:hAnsi="Times New Roman"/>
                <w:b/>
                <w:sz w:val="20"/>
              </w:rPr>
              <w:t>R1</w:t>
            </w:r>
          </w:p>
        </w:tc>
        <w:tc>
          <w:tcPr>
            <w:tcW w:type="dxa" w:w="685"/>
          </w:tcPr>
          <w:p>
            <w:pPr>
              <w:spacing w:line="240" w:lineRule="auto" w:after="40" w:before="40"/>
              <w:jc w:val="center"/>
            </w:pPr>
            <w:r>
              <w:rPr>
                <w:rFonts w:ascii="Times New Roman" w:hAnsi="Times New Roman"/>
                <w:b/>
                <w:sz w:val="20"/>
              </w:rPr>
              <w:t>R2</w:t>
            </w:r>
          </w:p>
        </w:tc>
        <w:tc>
          <w:tcPr>
            <w:tcW w:type="dxa" w:w="685"/>
          </w:tcPr>
          <w:p>
            <w:pPr>
              <w:spacing w:line="240" w:lineRule="auto" w:after="40" w:before="40"/>
              <w:jc w:val="center"/>
            </w:pPr>
            <w:r>
              <w:rPr>
                <w:rFonts w:ascii="Times New Roman" w:hAnsi="Times New Roman"/>
                <w:b/>
                <w:sz w:val="20"/>
              </w:rPr>
              <w:t>R3</w:t>
            </w:r>
          </w:p>
        </w:tc>
        <w:tc>
          <w:tcPr>
            <w:tcW w:type="dxa" w:w="685"/>
          </w:tcPr>
          <w:p>
            <w:pPr>
              <w:spacing w:line="240" w:lineRule="auto" w:after="40" w:before="40"/>
              <w:jc w:val="center"/>
            </w:pPr>
            <w:r>
              <w:rPr>
                <w:rFonts w:ascii="Times New Roman" w:hAnsi="Times New Roman"/>
                <w:b/>
                <w:sz w:val="20"/>
              </w:rPr>
              <w:t>R4</w:t>
            </w:r>
          </w:p>
        </w:tc>
        <w:tc>
          <w:tcPr>
            <w:tcW w:type="dxa" w:w="685"/>
          </w:tcPr>
          <w:p>
            <w:pPr>
              <w:spacing w:line="240" w:lineRule="auto" w:after="40" w:before="40"/>
              <w:jc w:val="center"/>
            </w:pPr>
            <w:r>
              <w:rPr>
                <w:rFonts w:ascii="Times New Roman" w:hAnsi="Times New Roman"/>
                <w:b/>
                <w:sz w:val="20"/>
              </w:rPr>
              <w:t>R5</w:t>
            </w:r>
          </w:p>
        </w:tc>
        <w:tc>
          <w:tcPr>
            <w:tcW w:type="dxa" w:w="685"/>
          </w:tcPr>
          <w:p>
            <w:pPr>
              <w:spacing w:line="240" w:lineRule="auto" w:after="40" w:before="40"/>
              <w:jc w:val="center"/>
            </w:pPr>
            <w:r>
              <w:rPr>
                <w:rFonts w:ascii="Times New Roman" w:hAnsi="Times New Roman"/>
                <w:b/>
                <w:sz w:val="20"/>
              </w:rPr>
              <w:t>R6</w:t>
            </w:r>
          </w:p>
        </w:tc>
        <w:tc>
          <w:tcPr>
            <w:tcW w:type="dxa" w:w="685"/>
          </w:tcPr>
          <w:p>
            <w:pPr>
              <w:spacing w:line="240" w:lineRule="auto" w:after="40" w:before="40"/>
              <w:jc w:val="center"/>
            </w:pPr>
            <w:r>
              <w:rPr>
                <w:rFonts w:ascii="Times New Roman" w:hAnsi="Times New Roman"/>
                <w:b/>
                <w:sz w:val="20"/>
              </w:rPr>
              <w:t>R7</w:t>
            </w:r>
          </w:p>
        </w:tc>
        <w:tc>
          <w:tcPr>
            <w:tcW w:type="dxa" w:w="685"/>
          </w:tcPr>
          <w:p>
            <w:pPr>
              <w:spacing w:line="240" w:lineRule="auto" w:after="40" w:before="40"/>
              <w:jc w:val="center"/>
            </w:pPr>
            <w:r>
              <w:rPr>
                <w:rFonts w:ascii="Times New Roman" w:hAnsi="Times New Roman"/>
                <w:b/>
                <w:sz w:val="20"/>
              </w:rPr>
              <w:t>R8</w:t>
            </w:r>
          </w:p>
        </w:tc>
        <w:tc>
          <w:tcPr>
            <w:tcW w:type="dxa" w:w="685"/>
          </w:tcPr>
          <w:p>
            <w:pPr>
              <w:spacing w:line="240" w:lineRule="auto" w:after="40" w:before="40"/>
              <w:jc w:val="center"/>
            </w:pPr>
            <w:r>
              <w:rPr>
                <w:rFonts w:ascii="Times New Roman" w:hAnsi="Times New Roman"/>
                <w:b/>
                <w:sz w:val="20"/>
              </w:rPr>
              <w:t>Total</w:t>
            </w:r>
          </w:p>
        </w:tc>
        <w:tc>
          <w:tcPr>
            <w:tcW w:type="dxa" w:w="685"/>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685"/>
          </w:tcPr>
          <w:p>
            <w:pPr>
              <w:spacing w:line="240" w:lineRule="auto" w:after="40" w:before="40"/>
              <w:jc w:val="left"/>
            </w:pPr>
            <w:r>
              <w:rPr>
                <w:rFonts w:ascii="Times New Roman" w:hAnsi="Times New Roman"/>
                <w:sz w:val="20"/>
              </w:rPr>
              <w:t>Prosedur standar pengelolaan keamanan</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19</w:t>
            </w:r>
          </w:p>
        </w:tc>
        <w:tc>
          <w:tcPr>
            <w:tcW w:type="dxa" w:w="685"/>
          </w:tcPr>
          <w:p>
            <w:pPr>
              <w:spacing w:line="240" w:lineRule="auto" w:after="40" w:before="40"/>
              <w:jc w:val="left"/>
            </w:pPr>
            <w:r>
              <w:rPr>
                <w:rFonts w:ascii="Times New Roman" w:hAnsi="Times New Roman"/>
                <w:sz w:val="20"/>
              </w:rPr>
              <w:t>2.38</w:t>
            </w:r>
          </w:p>
        </w:tc>
      </w:tr>
      <w:tr>
        <w:tc>
          <w:tcPr>
            <w:tcW w:type="dxa" w:w="680"/>
          </w:tcPr>
          <w:p>
            <w:pPr>
              <w:spacing w:line="240" w:lineRule="auto" w:after="40" w:before="40"/>
              <w:jc w:val="left"/>
            </w:pPr>
            <w:r>
              <w:rPr>
                <w:rFonts w:ascii="Times New Roman" w:hAnsi="Times New Roman"/>
                <w:sz w:val="20"/>
              </w:rPr>
              <w:t>8</w:t>
            </w:r>
          </w:p>
        </w:tc>
        <w:tc>
          <w:tcPr>
            <w:tcW w:type="dxa" w:w="685"/>
          </w:tcPr>
          <w:p>
            <w:pPr>
              <w:spacing w:line="240" w:lineRule="auto" w:after="40" w:before="40"/>
              <w:jc w:val="left"/>
            </w:pPr>
            <w:r>
              <w:rPr>
                <w:rFonts w:ascii="Times New Roman" w:hAnsi="Times New Roman"/>
                <w:sz w:val="20"/>
              </w:rPr>
              <w:t>Konsistensi di seluruh platform digital</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18</w:t>
            </w:r>
          </w:p>
        </w:tc>
        <w:tc>
          <w:tcPr>
            <w:tcW w:type="dxa" w:w="685"/>
          </w:tcPr>
          <w:p>
            <w:pPr>
              <w:spacing w:line="240" w:lineRule="auto" w:after="40" w:before="40"/>
              <w:jc w:val="left"/>
            </w:pPr>
            <w:r>
              <w:rPr>
                <w:rFonts w:ascii="Times New Roman" w:hAnsi="Times New Roman"/>
                <w:sz w:val="20"/>
              </w:rPr>
              <w:t>2.25</w:t>
            </w:r>
          </w:p>
        </w:tc>
      </w:tr>
      <w:tr>
        <w:tc>
          <w:tcPr>
            <w:tcW w:type="dxa" w:w="680"/>
          </w:tcPr>
          <w:p>
            <w:pPr>
              <w:spacing w:line="240" w:lineRule="auto" w:after="40" w:before="40"/>
              <w:jc w:val="left"/>
            </w:pPr>
            <w:r>
              <w:rPr>
                <w:rFonts w:ascii="Times New Roman" w:hAnsi="Times New Roman"/>
                <w:sz w:val="20"/>
              </w:rPr>
              <w:t>9</w:t>
            </w:r>
          </w:p>
        </w:tc>
        <w:tc>
          <w:tcPr>
            <w:tcW w:type="dxa" w:w="685"/>
          </w:tcPr>
          <w:p>
            <w:pPr>
              <w:spacing w:line="240" w:lineRule="auto" w:after="40" w:before="40"/>
              <w:jc w:val="left"/>
            </w:pPr>
            <w:r>
              <w:rPr>
                <w:rFonts w:ascii="Times New Roman" w:hAnsi="Times New Roman"/>
                <w:sz w:val="20"/>
              </w:rPr>
              <w:t>Audit keamanan internal berkala</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3</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2</w:t>
            </w:r>
          </w:p>
        </w:tc>
        <w:tc>
          <w:tcPr>
            <w:tcW w:type="dxa" w:w="685"/>
          </w:tcPr>
          <w:p>
            <w:pPr>
              <w:spacing w:line="240" w:lineRule="auto" w:after="40" w:before="40"/>
              <w:jc w:val="left"/>
            </w:pPr>
            <w:r>
              <w:rPr>
                <w:rFonts w:ascii="Times New Roman" w:hAnsi="Times New Roman"/>
                <w:sz w:val="20"/>
              </w:rPr>
              <w:t>17</w:t>
            </w:r>
          </w:p>
        </w:tc>
        <w:tc>
          <w:tcPr>
            <w:tcW w:type="dxa" w:w="685"/>
          </w:tcPr>
          <w:p>
            <w:pPr>
              <w:spacing w:line="240" w:lineRule="auto" w:after="40" w:before="40"/>
              <w:jc w:val="left"/>
            </w:pPr>
            <w:r>
              <w:rPr>
                <w:rFonts w:ascii="Times New Roman" w:hAnsi="Times New Roman"/>
                <w:sz w:val="20"/>
              </w:rPr>
              <w:t>2.13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(2.38 + 2.25 + 2.13) / 3 = </w:t>
      </w:r>
      <w:r>
        <w:rPr>
          <w:rFonts w:ascii="Times New Roman" w:hAnsi="Times New Roman"/>
          <w:b/>
          <w:sz w:val="24"/>
        </w:rPr>
        <w:t>2.25</w:t>
      </w:r>
      <w:r>
        <w:rPr>
          <w:rFonts w:ascii="Times New Roman" w:hAnsi="Times New Roman"/>
          <w:b w:val="0"/>
          <w:i w:val="0"/>
          <w:sz w:val="24"/>
        </w:rPr>
      </w:r>
    </w:p>
    <w:p>
      <w:pPr>
        <w:spacing w:line="360" w:lineRule="auto" w:after="120"/>
        <w:ind w:firstLine="709"/>
        <w:jc w:val="both"/>
      </w:pPr>
      <w:r>
        <w:rPr>
          <w:rFonts w:ascii="Times New Roman" w:hAnsi="Times New Roman"/>
          <w:b w:val="0"/>
          <w:i w:val="0"/>
          <w:sz w:val="24"/>
        </w:rPr>
      </w:r>
      <w:r>
        <w:rPr>
          <w:rFonts w:ascii="Times New Roman" w:hAnsi="Times New Roman"/>
          <w:i/>
          <w:sz w:val="24"/>
        </w:rPr>
        <w:t>Data ini merupakan hasil tabulasi jawaban kuesioner dari 8 responden internal PT. Murni Solusindo Nusantara.</w:t>
      </w:r>
      <w:r>
        <w:rPr>
          <w:rFonts w:ascii="Times New Roman" w:hAnsi="Times New Roman"/>
          <w:b w:val="0"/>
          <w:i w:val="0"/>
          <w:sz w:val="24"/>
        </w:rPr>
      </w:r>
    </w:p>
    <w:p>
      <w:r>
        <w:br w:type="page"/>
      </w:r>
    </w:p>
    <w:p>
      <w:pPr>
        <w:spacing w:line="360" w:lineRule="auto" w:after="0"/>
        <w:jc w:val="center"/>
      </w:pPr>
      <w:r>
        <w:rPr>
          <w:rFonts w:ascii="Times New Roman" w:hAnsi="Times New Roman"/>
          <w:b/>
          <w:sz w:val="28"/>
        </w:rPr>
        <w:t>Lampiran 3</w:t>
      </w:r>
    </w:p>
    <w:p>
      <w:pPr>
        <w:spacing w:line="360" w:lineRule="auto" w:after="360"/>
        <w:jc w:val="center"/>
      </w:pPr>
      <w:r>
        <w:rPr>
          <w:rFonts w:ascii="Times New Roman" w:hAnsi="Times New Roman"/>
          <w:b/>
          <w:sz w:val="28"/>
        </w:rPr>
        <w:t>Perhitungan Capability Level</w:t>
      </w:r>
    </w:p>
    <w:p>
      <w:pPr>
        <w:spacing w:line="360" w:lineRule="auto" w:after="120"/>
        <w:ind w:firstLine="709"/>
        <w:jc w:val="both"/>
      </w:pPr>
      <w:r>
        <w:rPr>
          <w:rFonts w:ascii="Times New Roman" w:hAnsi="Times New Roman"/>
          <w:b w:val="0"/>
          <w:i/>
          <w:sz w:val="24"/>
        </w:rPr>
        <w:t>Lampiran ini menyajikan rincian perhitungan capability level setiap domain COBIT 2019 berdasarkan data pada Lampiran 2, mulai dari nilai mean per level, persentase ketercapaian, rating (N/P/L/F), hingga penentuan capability level dan analisis GAP.</w:t>
      </w:r>
    </w:p>
    <w:p>
      <w:pPr>
        <w:spacing w:line="360" w:lineRule="auto" w:after="120"/>
        <w:ind w:firstLine="709"/>
        <w:jc w:val="both"/>
      </w:pPr>
      <w:r>
        <w:rPr>
          <w:rFonts w:ascii="Times New Roman" w:hAnsi="Times New Roman"/>
          <w:b w:val="0"/>
          <w:i w:val="0"/>
          <w:sz w:val="24"/>
        </w:rPr>
        <w:t>Berdasarkan framework COBIT 2019, perhitungan capability level dilakukan dengan langkah-langkah berikut:</w:t>
      </w:r>
    </w:p>
    <w:p>
      <w:pPr>
        <w:spacing w:line="360" w:lineRule="auto" w:after="40"/>
        <w:ind w:left="709" w:hanging="283"/>
        <w:jc w:val="both"/>
      </w:pPr>
      <w:r>
        <w:rPr>
          <w:rFonts w:ascii="Times New Roman" w:hAnsi="Times New Roman"/>
          <w:sz w:val="24"/>
        </w:rPr>
        <w:t>1. Hitung Skor = Σ (Jawaban Responden × Skala)</w:t>
      </w:r>
    </w:p>
    <w:p>
      <w:pPr>
        <w:spacing w:line="360" w:lineRule="auto" w:after="40"/>
        <w:ind w:left="709" w:hanging="283"/>
        <w:jc w:val="both"/>
      </w:pPr>
      <w:r>
        <w:rPr>
          <w:rFonts w:ascii="Times New Roman" w:hAnsi="Times New Roman"/>
          <w:sz w:val="24"/>
        </w:rPr>
        <w:t>2. Hitung Mean = Total Skor / Jumlah Responden (8 responden)</w:t>
      </w:r>
    </w:p>
    <w:p>
      <w:pPr>
        <w:spacing w:line="360" w:lineRule="auto" w:after="40"/>
        <w:ind w:left="709" w:hanging="283"/>
        <w:jc w:val="both"/>
      </w:pPr>
      <w:r>
        <w:rPr>
          <w:rFonts w:ascii="Times New Roman" w:hAnsi="Times New Roman"/>
          <w:sz w:val="24"/>
        </w:rPr>
        <w:t>3. Hitung % Ketercapaian = (Mean / Skor Maksimal) × 100%</w:t>
      </w:r>
    </w:p>
    <w:p>
      <w:pPr>
        <w:spacing w:line="360" w:lineRule="auto" w:after="40"/>
        <w:ind w:left="709" w:hanging="283"/>
        <w:jc w:val="both"/>
      </w:pPr>
      <w:r>
        <w:rPr>
          <w:rFonts w:ascii="Times New Roman" w:hAnsi="Times New Roman"/>
          <w:sz w:val="24"/>
        </w:rPr>
        <w:t>4. Tentukan Rating berdasarkan % ketercapaian:</w:t>
      </w:r>
    </w:p>
    <w:p>
      <w:pPr>
        <w:spacing w:line="360" w:lineRule="auto" w:after="40"/>
        <w:ind w:left="709" w:hanging="283"/>
        <w:jc w:val="both"/>
      </w:pPr>
      <w:r>
        <w:rPr>
          <w:rFonts w:ascii="Times New Roman" w:hAnsi="Times New Roman"/>
          <w:sz w:val="24"/>
        </w:rPr>
        <w:t>• N (Not Achieved) = 0–15%</w:t>
      </w:r>
    </w:p>
    <w:p>
      <w:pPr>
        <w:spacing w:line="360" w:lineRule="auto" w:after="40"/>
        <w:ind w:left="709" w:hanging="283"/>
        <w:jc w:val="both"/>
      </w:pPr>
      <w:r>
        <w:rPr>
          <w:rFonts w:ascii="Times New Roman" w:hAnsi="Times New Roman"/>
          <w:sz w:val="24"/>
        </w:rPr>
        <w:t>• P (Partially Achieved) = &gt;15%–50%</w:t>
      </w:r>
    </w:p>
    <w:p>
      <w:pPr>
        <w:spacing w:line="360" w:lineRule="auto" w:after="40"/>
        <w:ind w:left="709" w:hanging="283"/>
        <w:jc w:val="both"/>
      </w:pPr>
      <w:r>
        <w:rPr>
          <w:rFonts w:ascii="Times New Roman" w:hAnsi="Times New Roman"/>
          <w:sz w:val="24"/>
        </w:rPr>
        <w:t>• L (Largely Achieved) = &gt;50%–85%</w:t>
      </w:r>
    </w:p>
    <w:p>
      <w:pPr>
        <w:spacing w:line="360" w:lineRule="auto" w:after="40"/>
        <w:ind w:left="709" w:hanging="283"/>
        <w:jc w:val="both"/>
      </w:pPr>
      <w:r>
        <w:rPr>
          <w:rFonts w:ascii="Times New Roman" w:hAnsi="Times New Roman"/>
          <w:sz w:val="24"/>
        </w:rPr>
        <w:t>• F (Fully Achieved) = &gt;85%–100%</w:t>
      </w:r>
    </w:p>
    <w:p>
      <w:pPr>
        <w:spacing w:line="360" w:lineRule="auto" w:after="40"/>
        <w:ind w:left="709" w:hanging="283"/>
        <w:jc w:val="both"/>
      </w:pPr>
      <w:r>
        <w:rPr>
          <w:rFonts w:ascii="Times New Roman" w:hAnsi="Times New Roman"/>
          <w:sz w:val="24"/>
        </w:rPr>
        <w:t>5. Tentukan Capability Level = Level tertinggi yang mencapai rating L atau F</w:t>
      </w:r>
    </w:p>
    <w:p>
      <w:pPr>
        <w:spacing w:line="360" w:lineRule="auto" w:after="40"/>
        <w:ind w:left="709" w:hanging="283"/>
        <w:jc w:val="both"/>
      </w:pPr>
      <w:r>
        <w:rPr>
          <w:rFonts w:ascii="Times New Roman" w:hAnsi="Times New Roman"/>
          <w:sz w:val="24"/>
        </w:rPr>
        <w:t>6. Hitung GAP = To-be Level – As-is Level</w:t>
      </w:r>
    </w:p>
    <w:p>
      <w:pPr>
        <w:spacing w:line="360" w:lineRule="auto" w:after="120"/>
        <w:ind w:firstLine="709"/>
        <w:jc w:val="both"/>
      </w:pPr>
      <w:r>
        <w:rPr>
          <w:rFonts w:ascii="Times New Roman" w:hAnsi="Times New Roman"/>
          <w:b w:val="0"/>
          <w:i w:val="0"/>
          <w:sz w:val="24"/>
        </w:rPr>
      </w:r>
      <w:r>
        <w:rPr>
          <w:rFonts w:ascii="Times New Roman" w:hAnsi="Times New Roman"/>
          <w:b/>
          <w:sz w:val="24"/>
        </w:rPr>
        <w:t>Skor Maksimal per pertanyaan = 5</w:t>
      </w:r>
      <w:r>
        <w:rPr>
          <w:rFonts w:ascii="Times New Roman" w:hAnsi="Times New Roman"/>
          <w:b w:val="0"/>
          <w:i w:val="0"/>
          <w:sz w:val="24"/>
        </w:rPr>
        <w:t xml:space="preserve"> (skala tertinggi: Sangat Setuju)</w:t>
      </w:r>
    </w:p>
    <w:p>
      <w:pPr>
        <w:pStyle w:val="Heading2"/>
      </w:pPr>
      <w:r>
        <w:t>Perhitungan Per Domain</w:t>
      </w:r>
    </w:p>
    <w:p>
      <w:pPr>
        <w:pStyle w:val="Heading3"/>
      </w:pPr>
      <w:r>
        <w:t>Domain APO12 — Managed Risk</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3.04</w:t>
            </w:r>
          </w:p>
        </w:tc>
        <w:tc>
          <w:tcPr>
            <w:tcW w:type="dxa" w:w="2055"/>
          </w:tcPr>
          <w:p>
            <w:pPr>
              <w:spacing w:line="240" w:lineRule="auto" w:after="40" w:before="40"/>
              <w:jc w:val="left"/>
            </w:pPr>
            <w:r>
              <w:rPr>
                <w:rFonts w:ascii="Times New Roman" w:hAnsi="Times New Roman"/>
                <w:sz w:val="20"/>
              </w:rPr>
              <w:t>(3.04 / 5) × 100% = 60.83%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(2.58 / 5) × 100% = 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(2.25 / 5) × 100% = 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APO12 = Level 2</w:t>
      </w:r>
      <w:r>
        <w:rPr>
          <w:rFonts w:ascii="Times New Roman" w:hAnsi="Times New Roman"/>
          <w:b w:val="0"/>
          <w:i w:val="0"/>
          <w:sz w:val="24"/>
        </w:rPr>
        <w:t xml:space="preserve"> (Managed Process)</w:t>
      </w:r>
    </w:p>
    <w:p>
      <w:pPr>
        <w:pStyle w:val="Heading3"/>
      </w:pPr>
      <w:r>
        <w:t>Domain APO13 — Managed Security</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3.25</w:t>
            </w:r>
          </w:p>
        </w:tc>
        <w:tc>
          <w:tcPr>
            <w:tcW w:type="dxa" w:w="2055"/>
          </w:tcPr>
          <w:p>
            <w:pPr>
              <w:spacing w:line="240" w:lineRule="auto" w:after="40" w:before="40"/>
              <w:jc w:val="left"/>
            </w:pPr>
            <w:r>
              <w:rPr>
                <w:rFonts w:ascii="Times New Roman" w:hAnsi="Times New Roman"/>
                <w:sz w:val="20"/>
              </w:rPr>
              <w:t>(3.25 / 5) × 100% = 65.00%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2.71</w:t>
            </w:r>
          </w:p>
        </w:tc>
        <w:tc>
          <w:tcPr>
            <w:tcW w:type="dxa" w:w="2055"/>
          </w:tcPr>
          <w:p>
            <w:pPr>
              <w:spacing w:line="240" w:lineRule="auto" w:after="40" w:before="40"/>
              <w:jc w:val="left"/>
            </w:pPr>
            <w:r>
              <w:rPr>
                <w:rFonts w:ascii="Times New Roman" w:hAnsi="Times New Roman"/>
                <w:sz w:val="20"/>
              </w:rPr>
              <w:t>(2.71 / 5) × 100% = 54.17%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(2.33 / 5) × 100% = 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APO13 = Level 2</w:t>
      </w:r>
      <w:r>
        <w:rPr>
          <w:rFonts w:ascii="Times New Roman" w:hAnsi="Times New Roman"/>
          <w:b w:val="0"/>
          <w:i w:val="0"/>
          <w:sz w:val="24"/>
        </w:rPr>
        <w:t xml:space="preserve"> (Managed Process)</w:t>
      </w:r>
    </w:p>
    <w:p>
      <w:pPr>
        <w:pStyle w:val="Heading3"/>
      </w:pPr>
      <w:r>
        <w:t>Domain BAI06 — Managed IT Changes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3.13</w:t>
            </w:r>
          </w:p>
        </w:tc>
        <w:tc>
          <w:tcPr>
            <w:tcW w:type="dxa" w:w="2055"/>
          </w:tcPr>
          <w:p>
            <w:pPr>
              <w:spacing w:line="240" w:lineRule="auto" w:after="40" w:before="40"/>
              <w:jc w:val="left"/>
            </w:pPr>
            <w:r>
              <w:rPr>
                <w:rFonts w:ascii="Times New Roman" w:hAnsi="Times New Roman"/>
                <w:sz w:val="20"/>
              </w:rPr>
              <w:t>(3.13 / 5) × 100% = 62.50%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2.67</w:t>
            </w:r>
          </w:p>
        </w:tc>
        <w:tc>
          <w:tcPr>
            <w:tcW w:type="dxa" w:w="2055"/>
          </w:tcPr>
          <w:p>
            <w:pPr>
              <w:spacing w:line="240" w:lineRule="auto" w:after="40" w:before="40"/>
              <w:jc w:val="left"/>
            </w:pPr>
            <w:r>
              <w:rPr>
                <w:rFonts w:ascii="Times New Roman" w:hAnsi="Times New Roman"/>
                <w:sz w:val="20"/>
              </w:rPr>
              <w:t>(2.67 / 5) × 100% = 53.33%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(2.33 / 5) × 100% = 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BAI06 = Level 2</w:t>
      </w:r>
      <w:r>
        <w:rPr>
          <w:rFonts w:ascii="Times New Roman" w:hAnsi="Times New Roman"/>
          <w:b w:val="0"/>
          <w:i w:val="0"/>
          <w:sz w:val="24"/>
        </w:rPr>
        <w:t xml:space="preserve"> (Managed Process)</w:t>
      </w:r>
    </w:p>
    <w:p>
      <w:pPr>
        <w:pStyle w:val="Heading3"/>
      </w:pPr>
      <w:r>
        <w:t>Domain DSS01 — Managed Operations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3.33</w:t>
            </w:r>
          </w:p>
        </w:tc>
        <w:tc>
          <w:tcPr>
            <w:tcW w:type="dxa" w:w="2055"/>
          </w:tcPr>
          <w:p>
            <w:pPr>
              <w:spacing w:line="240" w:lineRule="auto" w:after="40" w:before="40"/>
              <w:jc w:val="left"/>
            </w:pPr>
            <w:r>
              <w:rPr>
                <w:rFonts w:ascii="Times New Roman" w:hAnsi="Times New Roman"/>
                <w:sz w:val="20"/>
              </w:rPr>
              <w:t>(3.33 / 5) × 100% = 66.67%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2.79</w:t>
            </w:r>
          </w:p>
        </w:tc>
        <w:tc>
          <w:tcPr>
            <w:tcW w:type="dxa" w:w="2055"/>
          </w:tcPr>
          <w:p>
            <w:pPr>
              <w:spacing w:line="240" w:lineRule="auto" w:after="40" w:before="40"/>
              <w:jc w:val="left"/>
            </w:pPr>
            <w:r>
              <w:rPr>
                <w:rFonts w:ascii="Times New Roman" w:hAnsi="Times New Roman"/>
                <w:sz w:val="20"/>
              </w:rPr>
              <w:t>(2.79 / 5) × 100% = 55.83%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2.42</w:t>
            </w:r>
          </w:p>
        </w:tc>
        <w:tc>
          <w:tcPr>
            <w:tcW w:type="dxa" w:w="2055"/>
          </w:tcPr>
          <w:p>
            <w:pPr>
              <w:spacing w:line="240" w:lineRule="auto" w:after="40" w:before="40"/>
              <w:jc w:val="left"/>
            </w:pPr>
            <w:r>
              <w:rPr>
                <w:rFonts w:ascii="Times New Roman" w:hAnsi="Times New Roman"/>
                <w:sz w:val="20"/>
              </w:rPr>
              <w:t>(2.42 / 5) × 100% = 48.33%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DSS01 = Level 2</w:t>
      </w:r>
      <w:r>
        <w:rPr>
          <w:rFonts w:ascii="Times New Roman" w:hAnsi="Times New Roman"/>
          <w:b w:val="0"/>
          <w:i w:val="0"/>
          <w:sz w:val="24"/>
        </w:rPr>
        <w:t xml:space="preserve"> (Managed Process)</w:t>
      </w:r>
    </w:p>
    <w:p>
      <w:pPr>
        <w:pStyle w:val="Heading3"/>
      </w:pPr>
      <w:r>
        <w:t>Domain DSS05 — Managed Security Services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3.38</w:t>
            </w:r>
          </w:p>
        </w:tc>
        <w:tc>
          <w:tcPr>
            <w:tcW w:type="dxa" w:w="2055"/>
          </w:tcPr>
          <w:p>
            <w:pPr>
              <w:spacing w:line="240" w:lineRule="auto" w:after="40" w:before="40"/>
              <w:jc w:val="left"/>
            </w:pPr>
            <w:r>
              <w:rPr>
                <w:rFonts w:ascii="Times New Roman" w:hAnsi="Times New Roman"/>
                <w:sz w:val="20"/>
              </w:rPr>
              <w:t>(3.38 / 5) × 100% = 67.50%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2.58</w:t>
            </w:r>
          </w:p>
        </w:tc>
        <w:tc>
          <w:tcPr>
            <w:tcW w:type="dxa" w:w="2055"/>
          </w:tcPr>
          <w:p>
            <w:pPr>
              <w:spacing w:line="240" w:lineRule="auto" w:after="40" w:before="40"/>
              <w:jc w:val="left"/>
            </w:pPr>
            <w:r>
              <w:rPr>
                <w:rFonts w:ascii="Times New Roman" w:hAnsi="Times New Roman"/>
                <w:sz w:val="20"/>
              </w:rPr>
              <w:t>(2.58 / 5) × 100% = 51.67%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2.25</w:t>
            </w:r>
          </w:p>
        </w:tc>
        <w:tc>
          <w:tcPr>
            <w:tcW w:type="dxa" w:w="2055"/>
          </w:tcPr>
          <w:p>
            <w:pPr>
              <w:spacing w:line="240" w:lineRule="auto" w:after="40" w:before="40"/>
              <w:jc w:val="left"/>
            </w:pPr>
            <w:r>
              <w:rPr>
                <w:rFonts w:ascii="Times New Roman" w:hAnsi="Times New Roman"/>
                <w:sz w:val="20"/>
              </w:rPr>
              <w:t>(2.25 / 5) × 100% = 45.00%</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DSS05 = Level 2</w:t>
      </w:r>
      <w:r>
        <w:rPr>
          <w:rFonts w:ascii="Times New Roman" w:hAnsi="Times New Roman"/>
          <w:b w:val="0"/>
          <w:i w:val="0"/>
          <w:sz w:val="24"/>
        </w:rPr>
        <w:t xml:space="preserve"> (Managed Process)</w:t>
      </w:r>
    </w:p>
    <w:p>
      <w:pPr>
        <w:pStyle w:val="Heading2"/>
      </w:pPr>
      <w:r>
        <w:t>Ringkasan Capability Level</w:t>
      </w:r>
    </w:p>
    <w:tbl>
      <w:tblPr>
        <w:tblStyle w:val="TableGrid"/>
        <w:tblW w:type="auto" w:w="0"/>
        <w:jc w:val="center"/>
        <w:tblLayout w:type="autofit"/>
        <w:tblLook w:firstColumn="1" w:firstRow="1" w:lastColumn="0" w:lastRow="0" w:noHBand="0" w:noVBand="1" w:val="04A0"/>
        <w:tblW w:w="5000" w:type="pct"/>
      </w:tblPr>
      <w:tblGrid>
        <w:gridCol w:w="680"/>
        <w:gridCol w:w="1644"/>
        <w:gridCol w:w="1644"/>
        <w:gridCol w:w="1644"/>
        <w:gridCol w:w="1644"/>
      </w:tblGrid>
      <w:tr>
        <w:tc>
          <w:tcPr>
            <w:tcW w:type="dxa" w:w="68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w:t>
            </w:r>
          </w:p>
        </w:tc>
        <w:tc>
          <w:tcPr>
            <w:tcW w:type="dxa" w:w="1644"/>
          </w:tcPr>
          <w:p>
            <w:pPr>
              <w:spacing w:line="240" w:lineRule="auto" w:after="40" w:before="40"/>
              <w:jc w:val="center"/>
            </w:pPr>
            <w:r>
              <w:rPr>
                <w:rFonts w:ascii="Times New Roman" w:hAnsi="Times New Roman"/>
                <w:b/>
                <w:sz w:val="20"/>
              </w:rPr>
              <w:t>Capability Level (As-is)</w:t>
            </w:r>
          </w:p>
        </w:tc>
        <w:tc>
          <w:tcPr>
            <w:tcW w:type="dxa" w:w="1644"/>
          </w:tcPr>
          <w:p>
            <w:pPr>
              <w:spacing w:line="240" w:lineRule="auto" w:after="40" w:before="40"/>
              <w:jc w:val="center"/>
            </w:pPr>
            <w:r>
              <w:rPr>
                <w:rFonts w:ascii="Times New Roman" w:hAnsi="Times New Roman"/>
                <w:b/>
                <w:sz w:val="20"/>
              </w:rPr>
              <w:t>Target Level (To-be)</w:t>
            </w:r>
          </w:p>
        </w:tc>
        <w:tc>
          <w:tcPr>
            <w:tcW w:type="dxa" w:w="1644"/>
          </w:tcPr>
          <w:p>
            <w:pPr>
              <w:spacing w:line="240" w:lineRule="auto" w:after="40" w:before="40"/>
              <w:jc w:val="center"/>
            </w:pPr>
            <w:r>
              <w:rPr>
                <w:rFonts w:ascii="Times New Roman" w:hAnsi="Times New Roman"/>
                <w:b/>
                <w:sz w:val="20"/>
              </w:rPr>
              <w:t>GAP</w:t>
            </w:r>
          </w:p>
        </w:tc>
      </w:tr>
      <w:tr>
        <w:tc>
          <w:tcPr>
            <w:tcW w:type="dxa" w:w="68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APO12 (Managed Risk)</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APO13 (Managed Security)</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BAI06 (Managed IT Changes)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DSS01 (Managed Operations)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(Managed Security Services)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Capability Level = 2</w:t>
      </w:r>
      <w:r>
        <w:rPr>
          <w:rFonts w:ascii="Times New Roman" w:hAnsi="Times New Roman"/>
          <w:b w:val="0"/>
          <w:i w:val="0"/>
          <w:sz w:val="24"/>
        </w:rPr>
        <w:t xml:space="preserve"> (Managed Process)</w:t>
      </w:r>
    </w:p>
    <w:p>
      <w:pPr>
        <w:pStyle w:val="Heading2"/>
      </w:pPr>
      <w:r>
        <w:t>Analisis GAP</w:t>
      </w:r>
    </w:p>
    <w:p>
      <w:pPr>
        <w:spacing w:line="360" w:lineRule="auto" w:after="120"/>
        <w:ind w:firstLine="709"/>
        <w:jc w:val="both"/>
      </w:pPr>
      <w:r>
        <w:rPr>
          <w:rFonts w:ascii="Times New Roman" w:hAnsi="Times New Roman"/>
          <w:b w:val="0"/>
          <w:i w:val="0"/>
          <w:sz w:val="24"/>
        </w:rPr>
        <w:t xml:space="preserve">Seluruh domain yang diaudit berada pada </w:t>
      </w:r>
      <w:r>
        <w:rPr>
          <w:rFonts w:ascii="Times New Roman" w:hAnsi="Times New Roman"/>
          <w:b/>
          <w:sz w:val="24"/>
        </w:rPr>
        <w:t>Capability Level 2 (Managed Process)</w:t>
      </w:r>
      <w:r>
        <w:rPr>
          <w:rFonts w:ascii="Times New Roman" w:hAnsi="Times New Roman"/>
          <w:b w:val="0"/>
          <w:i w:val="0"/>
          <w:sz w:val="24"/>
        </w:rPr>
        <w:t xml:space="preserve">, sedangkan target yang diharapkan adalah </w:t>
      </w:r>
      <w:r>
        <w:rPr>
          <w:rFonts w:ascii="Times New Roman" w:hAnsi="Times New Roman"/>
          <w:b/>
          <w:sz w:val="24"/>
        </w:rPr>
        <w:t>Level 4 (Predictable Process)</w:t>
      </w:r>
      <w:r>
        <w:rPr>
          <w:rFonts w:ascii="Times New Roman" w:hAnsi="Times New Roman"/>
          <w:b w:val="0"/>
          <w:i w:val="0"/>
          <w:sz w:val="24"/>
        </w:rPr>
        <w:t xml:space="preserve">. Terdapat kesenjangan (GAP) sebesar </w:t>
      </w:r>
      <w:r>
        <w:rPr>
          <w:rFonts w:ascii="Times New Roman" w:hAnsi="Times New Roman"/>
          <w:b/>
          <w:sz w:val="24"/>
        </w:rPr>
        <w:t>2 level</w:t>
      </w:r>
      <w:r>
        <w:rPr>
          <w:rFonts w:ascii="Times New Roman" w:hAnsi="Times New Roman"/>
          <w:b w:val="0"/>
          <w:i w:val="0"/>
          <w:sz w:val="24"/>
        </w:rPr>
        <w:t xml:space="preserve"> pada setiap domain.</w:t>
      </w:r>
    </w:p>
    <w:p>
      <w:pPr>
        <w:pStyle w:val="Heading3"/>
      </w:pPr>
      <w:r>
        <w:t>Interpretasi Level</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Interpretasi pada PT. Murni</w:t>
            </w:r>
          </w:p>
        </w:tc>
      </w:tr>
      <w:tr>
        <w:tc>
          <w:tcPr>
            <w:tcW w:type="dxa" w:w="2740"/>
          </w:tcPr>
          <w:p>
            <w:pPr>
              <w:spacing w:line="240" w:lineRule="auto" w:after="40" w:before="40"/>
              <w:jc w:val="left"/>
            </w:pPr>
            <w:r>
              <w:rPr>
                <w:rFonts w:ascii="Times New Roman" w:hAnsi="Times New Roman"/>
                <w:sz w:val="20"/>
              </w:rPr>
              <w:t>Level 2 (Saat Ini)</w:t>
            </w:r>
          </w:p>
        </w:tc>
        <w:tc>
          <w:tcPr>
            <w:tcW w:type="dxa" w:w="2740"/>
          </w:tcPr>
          <w:p>
            <w:pPr>
              <w:spacing w:line="240" w:lineRule="auto" w:after="40" w:before="40"/>
              <w:jc w:val="left"/>
            </w:pPr>
            <w:r>
              <w:rPr>
                <w:rFonts w:ascii="Times New Roman" w:hAnsi="Times New Roman"/>
                <w:sz w:val="20"/>
              </w:rPr>
              <w:t>Managed Process</w:t>
            </w:r>
          </w:p>
        </w:tc>
        <w:tc>
          <w:tcPr>
            <w:tcW w:type="dxa" w:w="2740"/>
          </w:tcPr>
          <w:p>
            <w:pPr>
              <w:spacing w:line="240" w:lineRule="auto" w:after="40" w:before="40"/>
              <w:jc w:val="left"/>
            </w:pPr>
            <w:r>
              <w:rPr>
                <w:rFonts w:ascii="Times New Roman" w:hAnsi="Times New Roman"/>
                <w:sz w:val="20"/>
              </w:rPr>
              <w:t>Proses TI sudah ada dan dijalankan, mencapai tujuan melalui kegiatan dasar yang lengkap, namun belum sepenuhnya terstandarisasi</w:t>
            </w:r>
          </w:p>
        </w:tc>
      </w:tr>
      <w:tr>
        <w:tc>
          <w:tcPr>
            <w:tcW w:type="dxa" w:w="2740"/>
          </w:tcPr>
          <w:p>
            <w:pPr>
              <w:spacing w:line="240" w:lineRule="auto" w:after="40" w:before="40"/>
              <w:jc w:val="left"/>
            </w:pPr>
            <w:r>
              <w:rPr>
                <w:rFonts w:ascii="Times New Roman" w:hAnsi="Times New Roman"/>
                <w:sz w:val="20"/>
              </w:rPr>
              <w:t>Level 4 (Target)</w:t>
            </w:r>
          </w:p>
        </w:tc>
        <w:tc>
          <w:tcPr>
            <w:tcW w:type="dxa" w:w="2740"/>
          </w:tcPr>
          <w:p>
            <w:pPr>
              <w:spacing w:line="240" w:lineRule="auto" w:after="40" w:before="40"/>
              <w:jc w:val="left"/>
            </w:pPr>
            <w:r>
              <w:rPr>
                <w:rFonts w:ascii="Times New Roman" w:hAnsi="Times New Roman"/>
                <w:sz w:val="20"/>
              </w:rPr>
              <w:t>Predictable Process</w:t>
            </w:r>
          </w:p>
        </w:tc>
        <w:tc>
          <w:tcPr>
            <w:tcW w:type="dxa" w:w="2740"/>
          </w:tcPr>
          <w:p>
            <w:pPr>
              <w:spacing w:line="240" w:lineRule="auto" w:after="40" w:before="40"/>
              <w:jc w:val="left"/>
            </w:pPr>
            <w:r>
              <w:rPr>
                <w:rFonts w:ascii="Times New Roman" w:hAnsi="Times New Roman"/>
                <w:sz w:val="20"/>
              </w:rPr>
              <w:t>Proses TI terdefinisi baik, kinerja dapat diukur secara kuantitatif, dan hasilnya dapat diprediksi</w:t>
            </w:r>
          </w:p>
        </w:tc>
      </w:tr>
    </w:tbl>
    <w:p>
      <w:pPr>
        <w:spacing w:after="120"/>
      </w:pPr>
    </w:p>
    <w:p>
      <w:pPr>
        <w:pStyle w:val="Heading3"/>
      </w:pPr>
      <w:r>
        <w:t>Analisis Per Domain</w:t>
      </w:r>
    </w:p>
    <w:p>
      <w:pPr>
        <w:spacing w:line="360" w:lineRule="auto" w:before="120" w:after="80"/>
      </w:pPr>
      <w:r>
        <w:rPr>
          <w:rFonts w:ascii="Times New Roman" w:hAnsi="Times New Roman"/>
          <w:b/>
          <w:sz w:val="24"/>
        </w:rPr>
        <w:t>APO12 — Managed Risk (GAP = 2)</w:t>
      </w:r>
    </w:p>
    <w:p>
      <w:pPr>
        <w:spacing w:line="360" w:lineRule="auto" w:after="40"/>
        <w:ind w:left="709" w:hanging="283"/>
        <w:jc w:val="both"/>
      </w:pPr>
      <w:r>
        <w:rPr>
          <w:rFonts w:ascii="Times New Roman" w:hAnsi="Times New Roman"/>
          <w:sz w:val="24"/>
        </w:rPr>
        <w:t>• Perusahaan sudah melakukan identifikasi risiko TI dasar, namun dokumentasi risiko masih belum lengkap</w:t>
      </w:r>
    </w:p>
    <w:p>
      <w:pPr>
        <w:spacing w:line="360" w:lineRule="auto" w:after="40"/>
        <w:ind w:left="709" w:hanging="283"/>
        <w:jc w:val="both"/>
      </w:pPr>
      <w:r>
        <w:rPr>
          <w:rFonts w:ascii="Times New Roman" w:hAnsi="Times New Roman"/>
          <w:sz w:val="24"/>
        </w:rPr>
        <w:t>• Pemantauan dan pelaporan risiko dilakukan namun belum berkala dan terstruktur</w:t>
      </w:r>
    </w:p>
    <w:p>
      <w:pPr>
        <w:spacing w:line="360" w:lineRule="auto" w:after="40"/>
        <w:ind w:left="709" w:hanging="283"/>
        <w:jc w:val="both"/>
      </w:pPr>
      <w:r>
        <w:rPr>
          <w:rFonts w:ascii="Times New Roman" w:hAnsi="Times New Roman"/>
          <w:sz w:val="24"/>
        </w:rPr>
        <w:t>• Belum ada prosedur standar manajemen risiko yang terdokumentasi secara formal</w:t>
      </w:r>
    </w:p>
    <w:p>
      <w:pPr>
        <w:spacing w:line="360" w:lineRule="auto" w:before="120" w:after="80"/>
      </w:pPr>
      <w:r>
        <w:rPr>
          <w:rFonts w:ascii="Times New Roman" w:hAnsi="Times New Roman"/>
          <w:b/>
          <w:sz w:val="24"/>
        </w:rPr>
        <w:t>APO13 — Managed Security (GAP = 2)</w:t>
      </w:r>
    </w:p>
    <w:p>
      <w:pPr>
        <w:spacing w:line="360" w:lineRule="auto" w:after="40"/>
        <w:ind w:left="709" w:hanging="283"/>
        <w:jc w:val="both"/>
      </w:pPr>
      <w:r>
        <w:rPr>
          <w:rFonts w:ascii="Times New Roman" w:hAnsi="Times New Roman"/>
          <w:sz w:val="24"/>
        </w:rPr>
        <w:t>• Kebijakan keamanan informasi sudah ada namun sosialisasi masih terbatas</w:t>
      </w:r>
    </w:p>
    <w:p>
      <w:pPr>
        <w:spacing w:line="360" w:lineRule="auto" w:after="40"/>
        <w:ind w:left="709" w:hanging="283"/>
        <w:jc w:val="both"/>
      </w:pPr>
      <w:r>
        <w:rPr>
          <w:rFonts w:ascii="Times New Roman" w:hAnsi="Times New Roman"/>
          <w:sz w:val="24"/>
        </w:rPr>
        <w:t>• Pemantauan keamanan dilakukan namun belum ada pelaporan insiden yang terstruktur</w:t>
      </w:r>
    </w:p>
    <w:p>
      <w:pPr>
        <w:spacing w:line="360" w:lineRule="auto" w:after="40"/>
        <w:ind w:left="709" w:hanging="283"/>
        <w:jc w:val="both"/>
      </w:pPr>
      <w:r>
        <w:rPr>
          <w:rFonts w:ascii="Times New Roman" w:hAnsi="Times New Roman"/>
          <w:sz w:val="24"/>
        </w:rPr>
        <w:t>• Program pelatihan keamanan belum terstandar dan tidak rutin dilaksanakan</w:t>
      </w:r>
    </w:p>
    <w:p>
      <w:pPr>
        <w:spacing w:line="360" w:lineRule="auto" w:before="120" w:after="80"/>
      </w:pPr>
      <w:r>
        <w:rPr>
          <w:rFonts w:ascii="Times New Roman" w:hAnsi="Times New Roman"/>
          <w:b/>
          <w:sz w:val="24"/>
        </w:rPr>
        <w:t>BAI06 — Managed IT Changes (GAP = 2)</w:t>
      </w:r>
    </w:p>
    <w:p>
      <w:pPr>
        <w:spacing w:line="360" w:lineRule="auto" w:after="40"/>
        <w:ind w:left="709" w:hanging="283"/>
        <w:jc w:val="both"/>
      </w:pPr>
      <w:r>
        <w:rPr>
          <w:rFonts w:ascii="Times New Roman" w:hAnsi="Times New Roman"/>
          <w:sz w:val="24"/>
        </w:rPr>
        <w:t>• Pencatatan perubahan TI sudah dilakukan, namun proses persetujuan belum sepenuhnya formal</w:t>
      </w:r>
    </w:p>
    <w:p>
      <w:pPr>
        <w:spacing w:line="360" w:lineRule="auto" w:after="40"/>
        <w:ind w:left="709" w:hanging="283"/>
        <w:jc w:val="both"/>
      </w:pPr>
      <w:r>
        <w:rPr>
          <w:rFonts w:ascii="Times New Roman" w:hAnsi="Times New Roman"/>
          <w:sz w:val="24"/>
        </w:rPr>
        <w:t>• Evaluasi pasca-implementasi perubahan belum dilakukan secara konsisten</w:t>
      </w:r>
    </w:p>
    <w:p>
      <w:pPr>
        <w:spacing w:line="360" w:lineRule="auto" w:after="40"/>
        <w:ind w:left="709" w:hanging="283"/>
        <w:jc w:val="both"/>
      </w:pPr>
      <w:r>
        <w:rPr>
          <w:rFonts w:ascii="Times New Roman" w:hAnsi="Times New Roman"/>
          <w:sz w:val="24"/>
        </w:rPr>
        <w:t>• Prosedur change management belum terdokumentasi secara lengkap</w:t>
      </w:r>
    </w:p>
    <w:p>
      <w:pPr>
        <w:spacing w:line="360" w:lineRule="auto" w:before="120" w:after="80"/>
      </w:pPr>
      <w:r>
        <w:rPr>
          <w:rFonts w:ascii="Times New Roman" w:hAnsi="Times New Roman"/>
          <w:b/>
          <w:sz w:val="24"/>
        </w:rPr>
        <w:t>DSS01 — Managed Operations (GAP = 2)</w:t>
      </w:r>
    </w:p>
    <w:p>
      <w:pPr>
        <w:spacing w:line="360" w:lineRule="auto" w:after="40"/>
        <w:ind w:left="709" w:hanging="283"/>
        <w:jc w:val="both"/>
      </w:pPr>
      <w:r>
        <w:rPr>
          <w:rFonts w:ascii="Times New Roman" w:hAnsi="Times New Roman"/>
          <w:sz w:val="24"/>
        </w:rPr>
        <w:t>• Pemantauan operasional platform digital sudah berjalan rutin, domain ini memiliki skor tertinggi</w:t>
      </w:r>
    </w:p>
    <w:p>
      <w:pPr>
        <w:spacing w:line="360" w:lineRule="auto" w:after="40"/>
        <w:ind w:left="709" w:hanging="283"/>
        <w:jc w:val="both"/>
      </w:pPr>
      <w:r>
        <w:rPr>
          <w:rFonts w:ascii="Times New Roman" w:hAnsi="Times New Roman"/>
          <w:sz w:val="24"/>
        </w:rPr>
        <w:t>• Namun SOP operasional belum diterapkan secara konsisten di seluruh divisi</w:t>
      </w:r>
    </w:p>
    <w:p>
      <w:pPr>
        <w:spacing w:line="360" w:lineRule="auto" w:after="40"/>
        <w:ind w:left="709" w:hanging="283"/>
        <w:jc w:val="both"/>
      </w:pPr>
      <w:r>
        <w:rPr>
          <w:rFonts w:ascii="Times New Roman" w:hAnsi="Times New Roman"/>
          <w:sz w:val="24"/>
        </w:rPr>
        <w:t>• Mekanisme feedback dari pengguna masih terbatas</w:t>
      </w:r>
    </w:p>
    <w:p>
      <w:pPr>
        <w:spacing w:line="360" w:lineRule="auto" w:before="120" w:after="80"/>
      </w:pPr>
      <w:r>
        <w:rPr>
          <w:rFonts w:ascii="Times New Roman" w:hAnsi="Times New Roman"/>
          <w:b/>
          <w:sz w:val="24"/>
        </w:rPr>
        <w:t>DSS05 — Managed Security Services (GAP = 2)</w:t>
      </w:r>
    </w:p>
    <w:p>
      <w:pPr>
        <w:spacing w:line="360" w:lineRule="auto" w:after="40"/>
        <w:ind w:left="709" w:hanging="283"/>
        <w:jc w:val="both"/>
      </w:pPr>
      <w:r>
        <w:rPr>
          <w:rFonts w:ascii="Times New Roman" w:hAnsi="Times New Roman"/>
          <w:sz w:val="24"/>
        </w:rPr>
        <w:t>• Perlindungan malware dan access control sudah diterapkan dengan baik</w:t>
      </w:r>
    </w:p>
    <w:p>
      <w:pPr>
        <w:spacing w:line="360" w:lineRule="auto" w:after="40"/>
        <w:ind w:left="709" w:hanging="283"/>
        <w:jc w:val="both"/>
      </w:pPr>
      <w:r>
        <w:rPr>
          <w:rFonts w:ascii="Times New Roman" w:hAnsi="Times New Roman"/>
          <w:sz w:val="24"/>
        </w:rPr>
        <w:t>• Namun pelaporan insiden keamanan dan evaluasi efektivitas masih perlu ditingkatkan</w:t>
      </w:r>
    </w:p>
    <w:p>
      <w:pPr>
        <w:spacing w:line="360" w:lineRule="auto" w:after="40"/>
        <w:ind w:left="709" w:hanging="283"/>
        <w:jc w:val="both"/>
      </w:pPr>
      <w:r>
        <w:rPr>
          <w:rFonts w:ascii="Times New Roman" w:hAnsi="Times New Roman"/>
          <w:sz w:val="24"/>
        </w:rPr>
        <w:t>• Audit keamanan internal belum dilaksanakan secara berkala</w:t>
      </w:r>
    </w:p>
    <w:p>
      <w:pPr>
        <w:pStyle w:val="Heading2"/>
      </w:pPr>
      <w:r>
        <w:t>Rekomendasi Perbaikan</w:t>
      </w:r>
    </w:p>
    <w:p>
      <w:pPr>
        <w:pStyle w:val="Heading3"/>
      </w:pPr>
      <w:r>
        <w:t>APO12 — Managed Risk</w:t>
      </w:r>
    </w:p>
    <w:p>
      <w:pPr>
        <w:spacing w:line="360" w:lineRule="auto" w:after="40"/>
        <w:ind w:left="709" w:hanging="283"/>
        <w:jc w:val="both"/>
      </w:pPr>
      <w:r>
        <w:rPr>
          <w:rFonts w:ascii="Times New Roman" w:hAnsi="Times New Roman"/>
          <w:sz w:val="24"/>
        </w:rPr>
        <w:t>1. Menyusun dan mendokumentasikan kebijakan manajemen risiko TI secara formal</w:t>
      </w:r>
    </w:p>
    <w:p>
      <w:pPr>
        <w:spacing w:line="360" w:lineRule="auto" w:after="40"/>
        <w:ind w:left="709" w:hanging="283"/>
        <w:jc w:val="both"/>
      </w:pPr>
      <w:r>
        <w:rPr>
          <w:rFonts w:ascii="Times New Roman" w:hAnsi="Times New Roman"/>
          <w:sz w:val="24"/>
        </w:rPr>
        <w:t>2. Membuat risk register yang mencakup seluruh risiko TI teridentifikasi beserta tingkat dampak dan probabilitasnya</w:t>
      </w:r>
    </w:p>
    <w:p>
      <w:pPr>
        <w:spacing w:line="360" w:lineRule="auto" w:after="40"/>
        <w:ind w:left="709" w:hanging="283"/>
        <w:jc w:val="both"/>
      </w:pPr>
      <w:r>
        <w:rPr>
          <w:rFonts w:ascii="Times New Roman" w:hAnsi="Times New Roman"/>
          <w:sz w:val="24"/>
        </w:rPr>
        <w:t>3. Menetapkan jadwal evaluasi risiko secara berkala (minimal per kuartal)</w:t>
      </w:r>
    </w:p>
    <w:p>
      <w:pPr>
        <w:spacing w:line="360" w:lineRule="auto" w:after="40"/>
        <w:ind w:left="709" w:hanging="283"/>
        <w:jc w:val="both"/>
      </w:pPr>
      <w:r>
        <w:rPr>
          <w:rFonts w:ascii="Times New Roman" w:hAnsi="Times New Roman"/>
          <w:sz w:val="24"/>
        </w:rPr>
        <w:t>4. Menunjuk penanggung jawab (risk owner) untuk setiap risiko yang teridentifikasi</w:t>
      </w:r>
    </w:p>
    <w:p>
      <w:pPr>
        <w:pStyle w:val="Heading3"/>
      </w:pPr>
      <w:r>
        <w:t>APO13 — Managed Security</w:t>
      </w:r>
    </w:p>
    <w:p>
      <w:pPr>
        <w:spacing w:line="360" w:lineRule="auto" w:after="40"/>
        <w:ind w:left="709" w:hanging="283"/>
        <w:jc w:val="both"/>
      </w:pPr>
      <w:r>
        <w:rPr>
          <w:rFonts w:ascii="Times New Roman" w:hAnsi="Times New Roman"/>
          <w:sz w:val="24"/>
        </w:rPr>
        <w:t>1. Memperluas sosialisasi kebijakan keamanan informasi kepada seluruh karyawan, termasuk departemen non-TI</w:t>
      </w:r>
    </w:p>
    <w:p>
      <w:pPr>
        <w:spacing w:line="360" w:lineRule="auto" w:after="40"/>
        <w:ind w:left="709" w:hanging="283"/>
        <w:jc w:val="both"/>
      </w:pPr>
      <w:r>
        <w:rPr>
          <w:rFonts w:ascii="Times New Roman" w:hAnsi="Times New Roman"/>
          <w:sz w:val="24"/>
        </w:rPr>
        <w:t>2. Menerapkan sistem pelaporan insiden keamanan yang terstruktur dan terdokumentasi</w:t>
      </w:r>
    </w:p>
    <w:p>
      <w:pPr>
        <w:spacing w:line="360" w:lineRule="auto" w:after="40"/>
        <w:ind w:left="709" w:hanging="283"/>
        <w:jc w:val="both"/>
      </w:pPr>
      <w:r>
        <w:rPr>
          <w:rFonts w:ascii="Times New Roman" w:hAnsi="Times New Roman"/>
          <w:sz w:val="24"/>
        </w:rPr>
        <w:t>3. Menyelenggarakan program pelatihan keamanan informasi secara rutin (minimal 2 kali per tahun)</w:t>
      </w:r>
    </w:p>
    <w:p>
      <w:pPr>
        <w:spacing w:line="360" w:lineRule="auto" w:after="40"/>
        <w:ind w:left="709" w:hanging="283"/>
        <w:jc w:val="both"/>
      </w:pPr>
      <w:r>
        <w:rPr>
          <w:rFonts w:ascii="Times New Roman" w:hAnsi="Times New Roman"/>
          <w:sz w:val="24"/>
        </w:rPr>
        <w:t>4. Melakukan penilaian kerentanan (vulnerability assessment) secara berkala pada seluruh platform digital</w:t>
      </w:r>
    </w:p>
    <w:p>
      <w:pPr>
        <w:pStyle w:val="Heading3"/>
      </w:pPr>
      <w:r>
        <w:t>BAI06 — Managed IT Changes</w:t>
      </w:r>
    </w:p>
    <w:p>
      <w:pPr>
        <w:spacing w:line="360" w:lineRule="auto" w:after="40"/>
        <w:ind w:left="709" w:hanging="283"/>
        <w:jc w:val="both"/>
      </w:pPr>
      <w:r>
        <w:rPr>
          <w:rFonts w:ascii="Times New Roman" w:hAnsi="Times New Roman"/>
          <w:sz w:val="24"/>
        </w:rPr>
        <w:t>1. Menyusun SOP change management yang formal dan terdokumentasi</w:t>
      </w:r>
    </w:p>
    <w:p>
      <w:pPr>
        <w:spacing w:line="360" w:lineRule="auto" w:after="40"/>
        <w:ind w:left="709" w:hanging="283"/>
        <w:jc w:val="both"/>
      </w:pPr>
      <w:r>
        <w:rPr>
          <w:rFonts w:ascii="Times New Roman" w:hAnsi="Times New Roman"/>
          <w:sz w:val="24"/>
        </w:rPr>
        <w:t>2. Menerapkan proses persetujuan berjenjang untuk setiap perubahan sistem TI</w:t>
      </w:r>
    </w:p>
    <w:p>
      <w:pPr>
        <w:spacing w:line="360" w:lineRule="auto" w:after="40"/>
        <w:ind w:left="709" w:hanging="283"/>
        <w:jc w:val="both"/>
      </w:pPr>
      <w:r>
        <w:rPr>
          <w:rFonts w:ascii="Times New Roman" w:hAnsi="Times New Roman"/>
          <w:sz w:val="24"/>
        </w:rPr>
        <w:t>3. Melaksanakan evaluasi pasca-implementasi (post-implementation review) secara konsisten</w:t>
      </w:r>
    </w:p>
    <w:p>
      <w:pPr>
        <w:spacing w:line="360" w:lineRule="auto" w:after="40"/>
        <w:ind w:left="709" w:hanging="283"/>
        <w:jc w:val="both"/>
      </w:pPr>
      <w:r>
        <w:rPr>
          <w:rFonts w:ascii="Times New Roman" w:hAnsi="Times New Roman"/>
          <w:sz w:val="24"/>
        </w:rPr>
        <w:t>4. Membuat change log yang komprehensif untuk setiap perubahan yang dilakukan</w:t>
      </w:r>
    </w:p>
    <w:p>
      <w:pPr>
        <w:pStyle w:val="Heading3"/>
      </w:pPr>
      <w:r>
        <w:t>DSS01 — Managed Operations</w:t>
      </w:r>
    </w:p>
    <w:p>
      <w:pPr>
        <w:spacing w:line="360" w:lineRule="auto" w:after="40"/>
        <w:ind w:left="709" w:hanging="283"/>
        <w:jc w:val="both"/>
      </w:pPr>
      <w:r>
        <w:rPr>
          <w:rFonts w:ascii="Times New Roman" w:hAnsi="Times New Roman"/>
          <w:sz w:val="24"/>
        </w:rPr>
        <w:t>1. Menyusun SOP operasional TI yang lengkap dan mendistribusikannya ke seluruh divisi terkait</w:t>
      </w:r>
    </w:p>
    <w:p>
      <w:pPr>
        <w:spacing w:line="360" w:lineRule="auto" w:after="40"/>
        <w:ind w:left="709" w:hanging="283"/>
        <w:jc w:val="both"/>
      </w:pPr>
      <w:r>
        <w:rPr>
          <w:rFonts w:ascii="Times New Roman" w:hAnsi="Times New Roman"/>
          <w:sz w:val="24"/>
        </w:rPr>
        <w:t>2. Menerapkan alat monitoring otomatis untuk memantau kinerja platform digital secara real-time</w:t>
      </w:r>
    </w:p>
    <w:p>
      <w:pPr>
        <w:spacing w:line="360" w:lineRule="auto" w:after="40"/>
        <w:ind w:left="709" w:hanging="283"/>
        <w:jc w:val="both"/>
      </w:pPr>
      <w:r>
        <w:rPr>
          <w:rFonts w:ascii="Times New Roman" w:hAnsi="Times New Roman"/>
          <w:sz w:val="24"/>
        </w:rPr>
        <w:t>3. Mengembangkan mekanisme feedback dari pengguna internal dan eksternal secara terstruktur</w:t>
      </w:r>
    </w:p>
    <w:p>
      <w:pPr>
        <w:spacing w:line="360" w:lineRule="auto" w:after="40"/>
        <w:ind w:left="709" w:hanging="283"/>
        <w:jc w:val="both"/>
      </w:pPr>
      <w:r>
        <w:rPr>
          <w:rFonts w:ascii="Times New Roman" w:hAnsi="Times New Roman"/>
          <w:sz w:val="24"/>
        </w:rPr>
        <w:t>4. Menetapkan KPI (Key Performance Indicator) operasional TI yang terukur</w:t>
      </w:r>
    </w:p>
    <w:p>
      <w:pPr>
        <w:pStyle w:val="Heading3"/>
      </w:pPr>
      <w:r>
        <w:t>DSS05 — Managed Security Services</w:t>
      </w:r>
    </w:p>
    <w:p>
      <w:pPr>
        <w:spacing w:line="360" w:lineRule="auto" w:after="40"/>
        <w:ind w:left="709" w:hanging="283"/>
        <w:jc w:val="both"/>
      </w:pPr>
      <w:r>
        <w:rPr>
          <w:rFonts w:ascii="Times New Roman" w:hAnsi="Times New Roman"/>
          <w:sz w:val="24"/>
        </w:rPr>
        <w:t>1. Meningkatkan pengelolaan pelaporan insiden keamanan dengan sistem ticketing yang terstruktur</w:t>
      </w:r>
    </w:p>
    <w:p>
      <w:pPr>
        <w:spacing w:line="360" w:lineRule="auto" w:after="40"/>
        <w:ind w:left="709" w:hanging="283"/>
        <w:jc w:val="both"/>
      </w:pPr>
      <w:r>
        <w:rPr>
          <w:rFonts w:ascii="Times New Roman" w:hAnsi="Times New Roman"/>
          <w:sz w:val="24"/>
        </w:rPr>
        <w:t>2. Melaksanakan evaluasi efektivitas layanan keamanan secara berkala</w:t>
      </w:r>
    </w:p>
    <w:p>
      <w:pPr>
        <w:spacing w:line="360" w:lineRule="auto" w:after="40"/>
        <w:ind w:left="709" w:hanging="283"/>
        <w:jc w:val="both"/>
      </w:pPr>
      <w:r>
        <w:rPr>
          <w:rFonts w:ascii="Times New Roman" w:hAnsi="Times New Roman"/>
          <w:sz w:val="24"/>
        </w:rPr>
        <w:t>3. Menjadwalkan audit keamanan internal secara periodik (minimal 2 kali per tahun)</w:t>
      </w:r>
    </w:p>
    <w:p>
      <w:pPr>
        <w:spacing w:line="360" w:lineRule="auto" w:after="40"/>
        <w:ind w:left="709" w:hanging="283"/>
        <w:jc w:val="both"/>
      </w:pPr>
      <w:r>
        <w:rPr>
          <w:rFonts w:ascii="Times New Roman" w:hAnsi="Times New Roman"/>
          <w:sz w:val="24"/>
        </w:rPr>
        <w:t>4. Menerapkan standar keamanan yang konsisten di seluruh platform digital perusahaan</w:t>
      </w:r>
    </w:p>
    <w:p>
      <w:pPr>
        <w:spacing w:line="360" w:lineRule="auto" w:after="120"/>
        <w:ind w:firstLine="709"/>
        <w:jc w:val="both"/>
      </w:pPr>
      <w:r>
        <w:rPr>
          <w:rFonts w:ascii="Times New Roman" w:hAnsi="Times New Roman"/>
          <w:b w:val="0"/>
          <w:i w:val="0"/>
          <w:sz w:val="24"/>
        </w:rPr>
      </w:r>
      <w:r>
        <w:rPr>
          <w:rFonts w:ascii="Times New Roman" w:hAnsi="Times New Roman"/>
          <w:i/>
          <w:sz w:val="24"/>
        </w:rPr>
        <w:t>Perhitungan ini dilakukan berdasarkan data kuesioner dari 8 responden internal PT. Murni Solusindo Nusantara menggunakan metodologi COBIT 2019 dengan rating scale N/P/L/F.</w:t>
      </w:r>
      <w:r>
        <w:rPr>
          <w:rFonts w:ascii="Times New Roman" w:hAnsi="Times New Roman"/>
          <w:b w:val="0"/>
          <w:i w:val="0"/>
          <w:sz w:val="24"/>
        </w:rPr>
      </w:r>
    </w:p>
    <w:sectPr w:rsidR="00FC693F" w:rsidRPr="0006063C" w:rsidSect="00034616">
      <w:footerReference w:type="default" r:id="rId35"/>
      <w:headerReference w:type="default" r:id="rId36"/>
      <w:pgSz w:w="11906" w:h="16838"/>
      <w:pgMar w:top="1701" w:right="1417" w:bottom="1417" w:left="2268" w:header="709"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 roman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footer" Target="footer6.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footer" Target="footer8.xml"/><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0.xml"/><Relationship Id="rId35" Type="http://schemas.openxmlformats.org/officeDocument/2006/relationships/footer" Target="footer11.xml"/><Relationship Id="rId36"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