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KUESIONER PENELITIAN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AUDIT SISTEM INFORMASI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SD IT AL-HUDA KELAPA GADING</w:t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4"/>
        </w:rPr>
        <w:t>Framework COBIT 2019</w:t>
      </w: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— Form Isian Responden R4 —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IDENTITAS RESPONDEN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Nama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Arif Hidayat, A.Md.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Jabatan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Operator Sekolah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Unit / Bidang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IT &amp; Data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Lama Mengabdi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3 tahun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Pendidikan Terakhir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D3 Teknik Komputer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Tanggal Pengisian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13 / 05 / 2026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APO07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Human Resources (Pengelolaan SDM)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kompetensi TIK dari guru dan staf serta program pelatihannya di sekolah.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Kompetensi dasar guru dan staf dalam menggunakan perangkat TIK sudah diidentifikasi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Penilaian kinerja guru terkait pemanfaatan TIK dalam pembelajaran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Kebutuhan pelatihan TIK untuk guru dan staf didokumentasikan dengan baik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pelatihan TIK yang terstruktur untuk meningkatkan kompetensi guru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Keikutsertaan guru dan staf dalam pelatihan TIK dipantau dan dievaluasi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Manajemen sekolah memberikan dukungan fasilitas untuk pengembangan kompetensi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dan indikator kinerja untuk evaluasi kompetensi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Program sertifikasi atau pelatihan TIK diwajibkan bagi guru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efektivitas pelatihan TIK dilakukan secara komprehensif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BAI09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Assets (Pengelolaan Aset TIK)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dan pemeliharaan perangkat keras (hardware) dan lunak (software) di sekolah, khususnya Lab Komputer.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Seluruh aset perangkat keras (PC Lab, proyektor, dll) dan lunak telah didata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Pengecekan kondisi fisik aset TIK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catatan mengenai kerusakan atau perbaikan aset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Pengadaan aset TIK direncanakan dan disesuaikan dengan kebutuhan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Penggunaan aset TIK diawasi dan dikelola untuk mencegah penyalahgunaan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kelayakan fungsi aset TIK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tertulis mengenai pemeliharaan dan penghapusan aset TIK yang rusak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Pengelolaan aset TIK dilakukan menggunakan sistem inventaris digital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 terhadap kelengkapan dan kondisi aset TIK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DSS01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Operations (Pengelolaan Operasional)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kegiatan operasional harian fasilitas TIK seperti penjadwalan Lab Komputer dan backup data.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Lab komputer dan fasilitas TIK lainnya dapat digunakan sesuai jadwal yang ditetapkan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panduan dasar mengenai penggunaan fasilitas TIK di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Pencadangan data sekolah (seperti data siswa dan nilai) dilakukan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Operasional Lab Komputer dan sistem TU dikelola dan dipantau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Kinerja dan ketersediaan fasilitas TIK dievaluasi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pencadangan data sekolah dilakukan secara rutin dan terjadwal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resmi mengenai operasional harian fasilitas TIK di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Pengelolaan operasional TIK diterapkan secara konsisten oleh seluruh pihak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Uji coba pemulihan data (restore data) dari cadangan dilakukan secara periodik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DSS03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Problems (Pengelolaan Masalah)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penanganan kendala teknis TIK (seperti saat ujian sekolah, KBM, atau sistem TU eror).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Kendala teknis saat KBM atau ujian dicatat ketika terjadi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penanggung jawab (Operator/Guru TIK) yang menangani kendala teknis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Upaya perbaikan atas kendala teknis dilakukan dengan segera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Masalah TIK diklasifikasikan berdasarkan urgensinya (mis. ujian vs proyektor kelas)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Penyelesaian kendala teknis dipantau dan dilaporkan kepada Kepala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terhadap kendala TIK yang sering terjadi dilakukan untuk perbaikan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untuk eskalasi dan penyelesaian masalah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Waktu respons dan penyelesaian masalah (SLA) telah ditetapkan dan diukur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Database riwayat penyelesaian masalah didokumentasikan untuk referensi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DSS05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Services (Pengelolaan Keamanan Layanan)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aspek keamanan data siswa, administrasi keuangan (BOSP), dan jaringan.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Perangkat komputer sekolah telah dilengkapi dengan perlindungan dasar (antivirus)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Akses ke sistem administrasi sekolah dilindungi oleh kata sandi (password)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Sosialisasi mengenai pentingnya menjaga kerahasiaan akun sudah diberikan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Hak akses ke data sensitif (seperti nilai dan Dapodik) dikelola dan dibatasi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Pemantauan terhadap upaya akses yang tidak sah atau aktivitas mencurigakan dilakukan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Keamanan jaringan sekolah (seperti WiFi) dikelola dan dilindungi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kebijakan tertulis mengenai keamanan informasi dan privasi 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 terhadap pengaturan keamanan dan hak akses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Pelatihan kesadaran keamanan informasi diberikan secara rutin kepada staf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/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— Terima kasih atas kesediaan Bapak/Ibu mengisi kuesioner ini —</w:t>
      </w:r>
    </w:p>
    <w:p>
      <w:pPr>
        <w:spacing w:before="480"/>
        <w:jc w:val="right"/>
      </w:pPr>
      <w:r>
        <w:rPr>
          <w:rFonts w:ascii="Times New Roman" w:hAnsi="Times New Roman"/>
          <w:sz w:val="22"/>
        </w:rPr>
        <w:t>Tanda tangan responden:</w:t>
      </w:r>
    </w:p>
    <w:p/>
    <w:p/>
    <w:p>
      <w:pPr>
        <w:jc w:val="right"/>
      </w:pPr>
      <w:r>
        <w:rPr>
          <w:rFonts w:ascii="Times New Roman" w:hAnsi="Times New Roman"/>
          <w:b/>
          <w:sz w:val="22"/>
        </w:rPr>
        <w:t>( Arif Hidayat, A.Md. 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