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Aulivana-FCDdesign</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26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r>
        <w:rPr>
          <w:rFonts w:ascii="Calibri" w:hAnsi="Calibri" w:cs="Calibri"/>
          <w:b w:val="0"/>
          <w:i w:val="0"/>
          <w:color w:val="1E293B"/>
          <w:sz w:val="24"/>
        </w:rPr>
        <w:t>En el editor, al escribir el comienzo de una instrucción aparece su estructura. Enter o Tab la insertan. La palabra reservada queda escrita y el hueco queda marcado. Tab pasa al hueco siguiente. La palabra en el otro idioma, desde la segunda letra, abre la misma estructura. Si el punto y coma es opcional, la plantilla no lo agrega.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r>
        <w:rPr>
          <w:rFonts w:ascii="Calibri" w:hAnsi="Calibri"/>
          <w:b w:val="0"/>
          <w:color w:val="1E293B"/>
          <w:sz w:val="24"/>
        </w:rPr>
        <w:t xml:space="preserve"> Si la condición no llega a ser falsa, la ejecución se corta a 100 000 instrucciones o a 5 segundos. Detener la corta antes. El tiempo de Esperar no entra en esos 5 segundos.</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after="160"/>
      </w:pPr>
      <w:r>
        <w:rPr>
          <w:rFonts w:ascii="Calibri" w:hAnsi="Calibri" w:cs="Calibri"/>
          <w:b w:val="0"/>
          <w:i w:val="0"/>
          <w:color w:val="1E1B2E"/>
          <w:sz w:val="24"/>
        </w:rPr>
        <w:t>En el editor, Operadores abre esta misma lista: asignación, aritmética, comparación, lógica y paréntesis. El panel recuerda el orden: la potencia liga primero, después la multiplicación y la división, después la suma y la resta, después las comparaciones, y al final NO, Y y O. &lt;- asigna y no se escribe dentro de una expresión. % equivale a MOD.</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Subcadena("Aulivana-FCDdesign", 1, 3);</w:t>
            </w:r>
          </w:p>
        </w:tc>
      </w:tr>
    </w:tbl>
    <w:p>
      <w:pPr>
        <w:spacing w:after="80"/>
      </w:pPr>
    </w:p>
    <w:p>
      <w:pPr>
        <w:spacing w:after="160" w:before="0" w:line="269" w:lineRule="auto"/>
      </w:pPr>
      <w:r>
        <w:rPr>
          <w:rFonts w:ascii="Calibri" w:hAnsi="Calibri" w:eastAsia="Calibri"/>
          <w:b w:val="0"/>
          <w:sz w:val="24"/>
        </w:rPr>
        <w:t>Con la base en 1 escribe Aul.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pPr/>
      <w:r>
        <w:rPr>
          <w:rFonts w:ascii="Calibri" w:hAnsi="Calibri" w:cs="Calibri"/>
          <w:b w:val="0"/>
          <w:i w:val="0"/>
          <w:color w:val="1E293B"/>
          <w:sz w:val="24"/>
        </w:rPr>
        <w:t>Ejecutar esos lenguajes es otra ventana: Lenguajes, entre Actualizar y Laboratorio. Aparece si el nivel de la cuenta lo incluye. En el navegador, Ejecutar corre en el servidor. En la aplicación de escritorio corre en la máquina. No sale del pseudocódigo y no lo reemplaza. Traducir solo muestra el texto generado.</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Aulivana-FCDdesign,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Aulivana-FCDdesign.</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Aulivana-FCDdesign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Aulivana-FCDdesign</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