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Aulivana-FCDdesign</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24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r>
        <w:rPr>
          <w:rFonts w:ascii="Calibri" w:hAnsi="Calibri" w:cs="Calibri"/>
          <w:b w:val="0"/>
          <w:i w:val="0"/>
          <w:color w:val="1E293B"/>
          <w:sz w:val="24"/>
        </w:rPr>
        <w:t>En el editor, al escribir el comienzo de una instrucción aparece su estructura. Enter o Tab la insertan. La palabra reservada queda escrita y el hueco queda marcado. Tab pasa al hueco siguiente. La palabra en el otro idioma, desde la segunda letra, abre la misma estructura. Si el punto y coma es opcional, la plantilla no lo agrega.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El panel recuerda el orden: la potencia liga primero, después la multiplicación y la división, después la suma y la resta, después las comparaciones, y al final NO, Y y O. &lt;- asigna y no se escribe dentro de una expresión.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Subcadena("Aulivana-FCDdesign", 1, 3);</w:t>
            </w:r>
          </w:p>
        </w:tc>
      </w:tr>
    </w:tbl>
    <w:p>
      <w:pPr>
        <w:spacing w:after="80"/>
      </w:pPr>
    </w:p>
    <w:p>
      <w:pPr>
        <w:spacing w:after="160" w:before="0" w:line="269" w:lineRule="auto"/>
      </w:pPr>
      <w:r>
        <w:rPr>
          <w:rFonts w:ascii="Calibri" w:hAnsi="Calibri" w:eastAsia="Calibri"/>
          <w:b w:val="0"/>
          <w:sz w:val="24"/>
        </w:rPr>
        <w:t>Con la base en 1 escribe Aul.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pPr/>
      <w:r>
        <w:rPr>
          <w:rFonts w:ascii="Calibri" w:hAnsi="Calibri" w:cs="Calibri"/>
          <w:b w:val="0"/>
          <w:i w:val="0"/>
          <w:color w:val="1E293B"/>
          <w:sz w:val="24"/>
        </w:rPr>
        <w:t>Ejecutar esos lenguajes es otra ventana: Lenguajes, entre Actualizar y Laboratorio. Ahí el código se escribe en el lenguaje elegido y corre en la máquina. No sale del pseudocódigo y no lo reemplaza. Traducir solo muestra el texto generado.</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Aulivana-FCDdesign,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Aulivana-FCDdesign.</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Aulivana-FCDdesign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Aulivana-FCDdesign</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